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2"/>
      </w:pPr>
      <w:r>
        <w:t>5.11 Evaluarea externă și sonda liniară</w:t>
        <w:tab/>
        <w:t>13</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jc w:val="both"/>
      </w:pPr>
      <w:r>
        <w:rPr>
          <w:highlight w:val="yellow"/>
        </w:rPr>
        <w:t>[De redactat: diagrame, modelul de date MongoDB, proiectarea API-ului.]</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 xml:space="preserve">Pe lângă cazurile propriu-zise, s-a verificat dacă aceeași fotografie apare în mai multe cazuri: pentru toate cele 4.089 de imagini descărcate (inclusiv toate cele 3.886 ale cazurilor folosite) s-a calculat amprenta MD5, un cod care este identic doar pentru fișiere identice (scriptul </w:t>
      </w:r>
      <w:r>
        <w:rPr>
          <w:rFonts w:ascii="Courier New" w:hAnsi="Courier New" w:eastAsia="Courier New" w:cs="Courier New"/>
          <w:sz w:val="21"/>
        </w:rPr>
        <w:t>ml/scripts/find_duplicate_images.py</w:t>
      </w:r>
      <w:r>
        <w:t>). Au rezultat 5 grupuri de câte 2–3 cazuri (12 cazuri în total) care conțin aceleași fotografii, probabil același contributor care a trimis cazul de două ori. În prima versiune a împărțirii, pentru seed-ul 0, patru astfel de fotografii ajungeau în seturi diferite, deci modelul ar fi putut vedea la antrenare o imagine de test. De aceea, cazurile unui grup sunt tratate ca o singură unitate la împărțire. Într-un grup, aceleași fotografii au primit categorii diferite (redness_rosacea, eczema_dermatitis și excluded), un exemplu concret de zgomot în etichete, adică etichete inconsecvente pentru aceeași imagine.</w:t>
      </w:r>
    </w:p>
    <w:p>
      <w:pPr>
        <w:ind w:firstLine="709"/>
        <w:jc w:val="both"/>
      </w:pPr>
      <w:r>
        <w:t>Rezultatul este, în funcție de seed, între 3.522 și 3.525 de cazuri în antrenare, între 754 și 757 în validare și între 754 și 756 în testare. În grupul eFST V–VI cazurile se repartizează 303, 68 și 65 (seed-ul 0). Categoria redness_rosacea are în total 44 de cazuri (30 în antrenare, 8 în validare, 6 în testare, pentru seed-ul 0), iar în V–VI un singur caz, în validare,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că seturile acoperă toate cazurile și că nicio fotografie identică nu apare în două seturi.</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273 în validare și 270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aduse la 224×224 pixeli păstrând proporțiile: latura mai lungă este scalată la 224 de pixeli, iar spațiul rămas este completat cu negru (letterbox). Majoritatea fotografiilor SCIN sunt în format portret 3:4, iar întinderea lor la un pătrat ar deforma leziunile. Imaginile sunt apoi normalizate cu media (0,485; 0,456; 0,406) și abaterea standard (0,229; 0,224; 0,225) ale setului ImageNet, valorile cu care au fost antrenate rețelele preantrenate; validarea și testarea nu primesc nicio augmentare în afară de aceste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Ramura de imagine este rețeaua EfficientNet-B0 [7], preluată din biblioteca timm [8] cu ponderi preantrenate pe ImageNet (învățare prin transfer: rețeaua pornește de la ce a învățat deja pe un set mare de imagini și este reantrenată pe SCIN). Ramura chestionarului este o rețea mică cu un strat de 64 de unități, care primește vectorul de 40 de trăsături alăturat măștii de 6 valori (46 de numere). Dacă chestionarul lipsește complet, modelul primește trăsături 0 și toate valorile măștii egale cu 1, aceeași reprezentare ca la antrenare, deci un chestionar absent nu este confundat cu unul completat cu răspunsuri 0. Ieșirile celor două ramuri se concatenează și trec printr-un strat final care produce scorul pentru fiecare dintre cele patru categorii. Ca valoare de referință se antrenează și un model doar cu imagine, fără ramura chestionarului.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(de exemplu 44 de cazuri redness_rosacea față de 1.068 eczema_dermatitis), pierderea (loss, măsura erorii pe care o minimizează antrenarea) este entropia încrucișată ponderată invers proporțional cu frecvența clasei. Optimizatorul este AdamW [9] cu rata de învățare 3·10⁻⁴ și descreștere cosinusoidală [10], pe 15 epoci, cu precizie mixtă pe GPU. Se păstrează punctul de oprire (checkpoint) cu cel mai bun macro-F1 pe setul de validare.</w:t>
      </w:r>
    </w:p>
    <w:p>
      <w:pPr>
        <w:ind w:firstLine="709"/>
        <w:jc w:val="both"/>
      </w:pPr>
      <w:r>
        <w:t>Antrenarea este realizată de un motor reutilizabil (ml/engine.py) care nu depinde de arhitectura modelului: aceleași funcții de antrenare și evaluare servesc atât modelul doar cu imagine, cât și modelul cu fuziune. Funcția de pierdere poate fi entropia încrucișată ponderată pe clase sau pierderea focală (focal loss) [11], care reduce contribuția exemplelor ușoare, sigure, pentru ca antrenarea să se concentreze pe cele dificile și rare; cele două variante se compară ca ablație. Antrenarea folosește precizie mixtă automată (AMP), adică calcule în precizie redusă pe GPU pentru viteză. Criteriul de oprire și de salvare a punctului de control este macro-F1 pe validare, nu acuratețea simplă, care ar fi înșelătoare la clase dezechilibrate; antrenarea se oprește timpuriu (early stopping) dacă macro-F1 nu se îmbunătățește timp de 5 epoci consecutive. Pentru fiecare epocă se înregistrează pierderea de antrenare, pierderea de validare, macro-F1 și durata (fișierul log.csv).</w:t>
      </w:r>
    </w:p>
    <w:p>
      <w:pPr>
        <w:ind w:firstLine="709"/>
        <w:jc w:val="both"/>
      </w:pPr>
      <w:r>
        <w:t>Modelul de referință doar cu imagine (</w:t>
      </w:r>
      <w:r>
        <w:rPr>
          <w:rFonts w:ascii="Courier New" w:hAnsi="Courier New" w:eastAsia="Courier New" w:cs="Courier New"/>
          <w:sz w:val="21"/>
        </w:rPr>
        <w:t>ml/models/image_model.py</w:t>
      </w:r>
      <w:r>
        <w:t>) este evaluat cu două rețele preantrenate: EfficientNet-B0 [7] și MobileNetV3-Large [13], o rețea mai mică, proiectată pentru telefoane mobile, deci relevantă pentru o aplicație mobilă. Stratul de clasificare ImageNet (1.000 de clase) este înlocuit cu unul nou, cu patru ieșiri, inițializat cu ponderi mici, astfel încât la început modelul să atribuie probabilități aproape egale celor patru categorii; inițializarea implicită a bibliotecii pornea de la scoruri foarte mari și de la o pierdere de aproximativ 4,5 în loc de circa 1,4.</w:t>
      </w:r>
    </w:p>
    <w:p>
      <w:pPr>
        <w:ind w:firstLine="709"/>
        <w:jc w:val="both"/>
      </w:pPr>
      <w:r>
        <w:t>Rețeaua este reantrenată în trei etape (staged fine-tuning), pentru a evita uitarea catastrofală (catastrophic forgetting), adică pierderea trăsăturilor utile învățate pe ImageNet atunci când toate straturile sunt modificate brusc de gradienții mari ai unui strat de clasificare încă neantrenat. În etapa 1 se antrenează doar stratul de clasificare (rata de învățare 10⁻³), restul rețelei fiind înghețat (parametrii nu se modifică). În etapa 2 se deblochează și ultimele două blocuri ale rețelei, împreună cu stratul convoluțional final, cu o rată de învățare de 10 ori mai mică decât a stratului de clasificare (3·10⁻⁴ pentru clasificator, 3·10⁻⁵ pentru rețea). În etapa 3, opțională, se antrenează toți parametrii cu o rată și mai mică (10⁻⁴, respectiv 10⁻⁵). Fiecare etapă pornește de la cel mai bun punct de control de până atunci și are propriul criteriu de oprire timpurie. Straturile de normalizare pe lot (batch normalization) care sunt înghețate rămân în modul de evaluare, astfel încât statisticile lor, calculate pe ImageNet, nu sunt suprascrise. Pentru o comparație corectă cu modelul cu chestionar, aceeași procedură în etape trebuie aplicată și modelului cu fuziune.</w:t>
      </w:r>
    </w:p>
    <w:p>
      <w:pPr>
        <w:ind w:firstLine="709"/>
        <w:jc w:val="both"/>
      </w:pPr>
      <w:r>
        <w:t xml:space="preserve">Modelul de referință doar cu imagine reprezintă primul braț al experimentului E1 și este rulat de scriptul </w:t>
      </w:r>
      <w:r>
        <w:rPr>
          <w:rFonts w:ascii="Courier New" w:hAnsi="Courier New" w:eastAsia="Courier New" w:cs="Courier New"/>
          <w:sz w:val="21"/>
        </w:rPr>
        <w:t>ml/run_image_only.py</w:t>
      </w:r>
      <w:r>
        <w:t xml:space="preserve"> pe toate cele cinci variante de împărțire (seed-urile 0–4). Un seed este numărul care inițializează generatorul de numere aleatoare; fiecare seed are propria împărțire pe cazuri, propria ordine a exemplelor și propria augmentare, deci repetarea pe cinci seed-uri arată cât de mult variază rezultatul doar din cauza hazardului. Pentru fiecare seed se antrenează modelul în cele trei etape, se păstrează punctul de control (checkpoint, adică ponderile salvate ale rețelei) cu cel mai bun macro-F1 pe validare, iar acesta este testat o singură dată. Predicțiile de test sunt evaluate cu </w:t>
      </w:r>
      <w:r>
        <w:rPr>
          <w:rFonts w:ascii="Courier New" w:hAnsi="Courier New" w:eastAsia="Courier New" w:cs="Courier New"/>
          <w:sz w:val="21"/>
        </w:rPr>
        <w:t>ml/evaluate.py</w:t>
      </w:r>
      <w:r>
        <w:t xml:space="preserve">, iar rezultatele celor cinci seed-uri sunt raportate ca medie ± abatere standard (abaterea standard măsoară cât de împrăștiate sunt cele cinci valori în jurul mediei), în fișierul </w:t>
      </w:r>
      <w:r>
        <w:rPr>
          <w:rFonts w:ascii="Courier New" w:hAnsi="Courier New" w:eastAsia="Courier New" w:cs="Courier New"/>
          <w:sz w:val="21"/>
        </w:rPr>
        <w:t>e1_image_only_test.csv</w:t>
      </w:r>
      <w:r>
        <w:t>.</w:t>
      </w:r>
    </w:p>
    <w:p>
      <w:pPr>
        <w:ind w:firstLine="709"/>
        <w:jc w:val="both"/>
      </w:pPr>
      <w:r>
        <w:t>Dezechilibrul claselor înseamnă că unele categorii au mult mai multe exemple decât altele: în setul de antrenare al seed-ului 0 sunt 748 de cazuri eczema_dermatitis, 387 normal_other, 101 acne și doar 30 redness_rosacea. Fără corecție, rețeaua ar învăța în principal clasa majoritară. Două corecții uzuale [17] sunt comparate printr-un studiu de ablație (ablation study), adică un experiment în care se schimbă o singură componentă și restul rămâne identic, pentru a vedea efectul acelei componente. (a) Pierderea ponderată pe clase: entropia încrucișată primește pentru fiecare clasă o pondere invers proporțională cu frecvența ei (numărul total de cazuri împărțit la numărul de clase înmulțit cu numărul de cazuri ale clasei; la seed-ul 0, de exemplu, 10,6 pentru redness_rosacea și 0,42 pentru eczema_dermatitis), iar exemplele sunt parcurse în ordine aleatoare, fiecare o dată pe epocă. (b) Eșantionarea ponderată (WeightedRandomSampler [18]): pierderea nu este ponderată, dar cazurile sunt extrase cu înlocuire (același caz poate fi extras de mai multe ori în aceeași epocă) cu probabilitatea invers proporțională cu numărul de cazuri al clasei lor, astfel încât fiecare clasă ocupă în medie un sfert din extrageri. Cele două corecții nu sunt folosite niciodată împreună, deoarece ar compensa dezechilibrul de două ori.</w:t>
      </w:r>
    </w:p>
    <w:p>
      <w:pPr>
        <w:ind w:firstLine="709"/>
        <w:jc w:val="both"/>
      </w:pPr>
      <w:r>
        <w:t>La eșantionarea ponderată, un caz rar este extras de aproximativ zece ori pe epocă (redness_rosacea: 30 de cazuri pentru circa 316 extrageri). Deoarece imaginea și augmentarea unui caz depind de seed, de epocă și de caz, toate copiile ar fi fost identice; scriptul numerotează extragerile repetate și fiecare repetare primește propria imagine a cazului (dacă are mai multe) și propria augmentare. Prima extragere rămâne identică cu cea din varianta (a), deci singura diferență dintre cele două variante este metoda de corecție. Riscul cunoscut al eșantionării este supraînvățarea (overfitting) pe puținele cazuri rare, adică memorarea lor în locul învățării unor trăsături generale; validarea pe macro-F1 și oprirea timpurie limitează acest risc. Ablația se rulează pentru ambele rețele (EfficientNet-B0 și MobileNetV3-Large), iar varianta cu cel mai bun macro-F1 mediu pe validare devine referința doar cu imagine din E1.</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grupele de ton (I–II, III–IV, V–VI; grupa „lipsă” nu este un ton). Într-o grupă, macro-F1 se calculează doar pe categoriile care apar în ea (de exemplu, redness_rosacea nu are cazuri V–VI în testare). Pentru fiecare valoare se raportează un interval de încredere de 95% obținut prin bootstrap [12], adică prin reeșantionarea repetată (de 1.000 de ori) a cazurilor de test cu înlocuire; intervalele arată cât de sigure sunt rezultatele pe grupele mici. Pentru întrebarea privind răspunsurile lipsă, modelul este testat cu 0%, 25%, 50%, 75% și 100% dintre câmpurile chestionarului ascunse (fiecare câmp independent, în plus față de răspunsurile care lipsesc deja în date; la 100% chestionarul este ascuns complet), și comparat cu modelul doar cu imagine. Fiecare configurație se rulează pentru cele cinci seed-uri (0–4), iar rezultatele se raportează ca medie și interval de variație. Scriptul este ml/train.py.</w:t>
      </w:r>
    </w:p>
    <w:p>
      <w:pPr>
        <w:ind w:firstLine="709"/>
        <w:jc w:val="both"/>
      </w:pPr>
      <w:r>
        <w:t xml:space="preserve">Evaluarea este realizată de scriptul </w:t>
      </w:r>
      <w:r>
        <w:rPr>
          <w:rFonts w:ascii="Courier New" w:hAnsi="Courier New" w:eastAsia="Courier New" w:cs="Courier New"/>
          <w:sz w:val="21"/>
        </w:rPr>
        <w:t>ml/evaluate.py</w:t>
      </w:r>
      <w:r>
        <w:t>, care citește un fișier standard de predicții (</w:t>
      </w:r>
      <w:r>
        <w:rPr>
          <w:rFonts w:ascii="Courier New" w:hAnsi="Courier New" w:eastAsia="Courier New" w:cs="Courier New"/>
          <w:sz w:val="21"/>
        </w:rPr>
        <w:t>predictions.csv</w:t>
      </w:r>
      <w:r>
        <w:t>, câte un rând pe caz, cu categoria reală, categoria prezisă, încrederea, eFST, eMST, seed-ul și proporția de răspunsuri ascunse). Pe lângă macro-F1 și acuratețea echilibrată, se raportează precizia, recall-ul și F1 pentru fiecare categorie. Precizia arată ce proporție dintre cazurile atribuite unei categorii aparțin cu adevărat ei, iar recall-ul ce proporție dintre cazurile unei categorii au fost găsite.</w:t>
      </w:r>
    </w:p>
    <w:p>
      <w:pPr>
        <w:ind w:firstLine="709"/>
        <w:jc w:val="both"/>
      </w:pPr>
      <w:r>
        <w:t>Calibrarea arată dacă încrederea modelului corespunde realității: un model bine calibrat care afirmă 80% încredere are dreptate în aproximativ 80% din cazuri. Încrederea este probabilitatea maximă dată de model unei categorii. Se măsoară prin eroarea de calibrare așteptată (Expected Calibration Error, ECE) [14]: predicțiile sunt împărțite în 15 intervale egale după încredere, iar ECE este media ponderată a diferenței dintre încrederea medie și acuratețea din fiecare interval. Pentru o aplicație informativă contează și curba risc-acoperire (risk-coverage) [15]: dacă aplicația răspunde doar când încrederea depășește un prag și altfel recomandă consultarea unui specialist, curba arată acuratețea obținută pentru fiecare proporție de cazuri la care răspunde (acoperire). Aria de sub curba riscului (AURC) rezumă curba într-un singur număr; o valoare mai mică este mai bună.</w:t>
      </w:r>
    </w:p>
    <w:p>
      <w:pPr>
        <w:ind w:firstLine="709"/>
        <w:jc w:val="both"/>
      </w:pPr>
      <w:r>
        <w:t>Echitatea este raportată pe ambele scale de ton, eFST (I–II, III–IV, V–VI) și eMST (1–3, 4–6, 7–10). Pentru fiecare scală se identifică grupul cel mai defavorizat (worst group) [16], adică grupul de ton cu cel mai mic macro-F1, împreună cu diferența față de grupul cel mai bun. Doar grupurile cu cel puțin 20 de cazuri pot fi desemnate astfel, deoarece pe grupuri mai mici estimarea este prea nesigură; grupurile excluse sunt menționate explicit. Intervalele de încredere bootstrap [12] reeșantionează cazuri (</w:t>
      </w:r>
      <w:r>
        <w:rPr>
          <w:rFonts w:ascii="Courier New" w:hAnsi="Courier New" w:eastAsia="Courier New" w:cs="Courier New"/>
          <w:sz w:val="21"/>
        </w:rPr>
        <w:t>case_id</w:t>
      </w:r>
      <w:r>
        <w:t>), nu rânduri: toate rândurile unui caz sunt păstrate împreună, astfel încât observațiile aceluiași caz nu sunt tratate ca independente. Rezultatele celor cinci seed-uri sunt rezumate prin medie, abatere standard, minim și maxim.</w:t>
      </w:r>
    </w:p>
    <w:p>
      <w:pPr>
        <w:pStyle w:val="Heading2"/>
      </w:pPr>
      <w:r>
        <w:t>5.11 Evaluarea externă și sonda liniară</w:t>
      </w:r>
    </w:p>
    <w:p>
      <w:pPr>
        <w:ind w:firstLine="709"/>
        <w:jc w:val="both"/>
      </w:pPr>
      <w:r>
        <w:t>Pentru a verifica dacă modelul doar cu imagine antrenat pe SCIN funcționează și pe fotografii provenite din alte surse, acesta este testat fără nicio reantrenare (evaluare externă, zero-shot) pe două seturi publice: DDI (Diverse Dermatology Images) [19], 656 de imagini clinice confirmate prin biopsie (examinarea la microscop a unei mostre de țesut), grupate pe tonuri Fitzpatrick I–II, III–IV și V–VI, și Fitzpatrick17k [20], 16.577 de imagini din atlase dermatologice online, cu 114 diagnostice și tipul Fitzpatrick 1–6. Niciunul nu are chestionar, deci se testează doar modelul cu imagine. Diferența dintre sursa de antrenare și cea de testare (alt aparat, altă încadrare, alte boli) se numește schimbare de domeniu (domain shift); scăderea performanței pe aceste seturi arată cât de mult depinde modelul de particularitățile SCIN.</w:t>
      </w:r>
    </w:p>
    <w:p>
      <w:pPr>
        <w:ind w:firstLine="709"/>
        <w:jc w:val="both"/>
      </w:pPr>
      <w:r>
        <w:t xml:space="preserve">Diagnosticele externe sunt aduse la cele patru categorii țintă cu același fișier </w:t>
      </w:r>
      <w:r>
        <w:rPr>
          <w:rFonts w:ascii="Courier New" w:hAnsi="Courier New" w:eastAsia="Courier New" w:cs="Courier New"/>
          <w:sz w:val="21"/>
        </w:rPr>
        <w:t>label_map.yaml</w:t>
      </w:r>
      <w:r>
        <w:t xml:space="preserve">, după normalizare (litere mici, cratima citită ca spațiu), plus o listă scurtă de sinonime pe set de date (de exemplu „acne vulgaris” → acne, „rhinophyma” → redness_rosacea). Fiecare rând primește un statut scris într-un raport: păstrat, categorie nețintă (de exemplu cancerele, care sunt </w:t>
      </w:r>
      <w:r>
        <w:rPr>
          <w:rFonts w:ascii="Courier New" w:hAnsi="Courier New" w:eastAsia="Courier New" w:cs="Courier New"/>
          <w:sz w:val="21"/>
        </w:rPr>
        <w:t>excluded</w:t>
      </w:r>
      <w:r>
        <w:t>), nemapat (diagnostic necunoscut, niciodată ghicit), etichetă greșită conform controlului de calitate al Fitzpatrick17k sau imagine lipsă; doar rândurile păstrate sunt evaluate. În Fitzpatrick17k, 4.012 imagini corespund categoriilor țintă (normal_other 1.892, eczema_dermatitis 1.009, acne 857, redness_rosacea 254), dar normal_other este dominată aici de psoriazis, deci compoziția categoriei diferă de SCIN. O limitare practică: majoritatea adreselor de imagini din Fitzpatrick17k (atlasul DermaAmin) nu mai funcționează, iar setul complet se obține de la autori prin formular. Imaginile nu sunt redistribuite (licența CC BY-NC-SA 3.0 pentru Fitzpatrick17k; condițiile Stanford AIMI pentru DDI). Tonul DDI 12 / 34 / 56 este tratat ca grupul eFST I–II / III–IV / V–VI, iar predicțiile tuturor celor cinci modele (câte unul pe seed) sunt evaluate cu același protocol ca pe SCIN.</w:t>
      </w:r>
    </w:p>
    <w:p>
      <w:pPr>
        <w:ind w:firstLine="709"/>
        <w:jc w:val="both"/>
      </w:pPr>
      <w:r>
        <w:t xml:space="preserve">Ca bază de comparație pentru experimentul E5 se folosește o sondă liniară (linear probe) [21]. Un model fundament (foundation model) este o rețea mare, preantrenată pe foarte multe imagini, ale cărei reprezentări pot fi refolosite pentru multe sarcini; în dermatologie, exemple sunt PanDerm [23] și DermLIP [24]. Rețeaua rămâne înghețată (ponderile ei nu se schimbă): pentru fiecare caz SCIN se calculează o singură dată vectorul de trăsături (features), adică lista de numere prin care rețeaua descrie imaginea, iar peste aceste trăsături se antrenează doar un strat liniar, echivalent cu o regresie logistică multinomială. Trăsăturile sunt standardizate (se scade media și se împarte la abaterea standard, calculate doar pe setul de antrenare), pierderea este entropia încrucișată ponderată pe clase, iar o penalizare L2 (suma pătratelor ponderilor, înmulțită cu o constantă) împiedică ponderile să devină prea mari; constanta este aleasă pe validare dintre 0 și 100. Evaluarea prin sondă liniară este metoda standard de comparare a reprezentărilor [22]: dacă o sondă simplă peste un model fundament egalează rețeaua reantrenată complet, avantajul vine din reprezentare, nu din antrenare. Scriptul </w:t>
      </w:r>
      <w:r>
        <w:rPr>
          <w:rFonts w:ascii="Courier New" w:hAnsi="Courier New" w:eastAsia="Courier New" w:cs="Courier New"/>
          <w:sz w:val="21"/>
        </w:rPr>
        <w:t>ml/foundation_probe.py</w:t>
      </w:r>
      <w:r>
        <w:t xml:space="preserve"> acceptă orice model timm, OpenCLIP sau Hugging Face, astfel încât ponderile PanDerm și DermLIP pot fi folosite fără modificarea codului.</w:t>
      </w:r>
    </w:p>
    <w:p>
      <w:pPr>
        <w:ind w:firstLine="709"/>
        <w:jc w:val="both"/>
      </w:pPr>
      <w:r>
        <w:t>Imaginile Fitzpatrick17k au fost obținute de la autori în baza unui acord prin care ele trebuie șterse la încheierea cercetării. De aceea sunt folosite exclusiv pentru testare, niciodată pentru antrenare, nu sunt redistribuite și nu apar în aplicație, în depozitul de cod sau în lucrare; se raportează doar rezultate agregate. Modelul livrat în aplicație este antrenat pe SCIN, a cărui licență permite reproducerea și adaptarea cu atribuire.</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redactat: teste, metrici ale modelului, feedback de la utilizatori.]</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p>
      <w:pPr>
        <w:spacing w:after="120" w:line="276" w:lineRule="auto"/>
        <w:ind w:left="567" w:hanging="567"/>
        <w:jc w:val="left"/>
      </w:pPr>
      <w:r>
        <w:t>[11] T.-Y. Lin, P. Goyal, R. Girshick, K. He, P. Dollár, Focal Loss for Dense Object Detection, ICCV 2017. https://arxiv.org/abs/1708.02002</w:t>
      </w:r>
    </w:p>
    <w:p>
      <w:pPr>
        <w:spacing w:after="120" w:line="276" w:lineRule="auto"/>
        <w:ind w:left="567" w:hanging="567"/>
        <w:jc w:val="left"/>
      </w:pPr>
      <w:r>
        <w:t>[12] B. Efron, R. J. Tibshirani, An Introduction to the Bootstrap, Chapman &amp; Hall/CRC, 1993. https://doi.org/10.1201/9780429246593</w:t>
      </w:r>
    </w:p>
    <w:p>
      <w:pPr>
        <w:spacing w:after="120" w:line="276" w:lineRule="auto"/>
        <w:ind w:left="567" w:hanging="567"/>
        <w:jc w:val="left"/>
      </w:pPr>
      <w:r>
        <w:t>[13] A. Howard, M. Sandler, G. Chu, L.-C. Chen, B. Chen, M. Tan, W. Wang, Y. Zhu, R. Pang, V. Vasudevan, Q. V. Le, H. Adam, Searching for MobileNetV3, ICCV 2019. https://arxiv.org/abs/1905.02244</w:t>
      </w:r>
    </w:p>
    <w:p>
      <w:pPr>
        <w:spacing w:after="120" w:line="276" w:lineRule="auto"/>
        <w:ind w:left="567" w:hanging="567"/>
        <w:jc w:val="left"/>
      </w:pPr>
      <w:r>
        <w:t>[14] C. Guo, G. Pleiss, Y. Sun, K. Q. Weinberger, On Calibration of Modern Neural Networks, ICML 2017. https://arxiv.org/abs/1706.04599</w:t>
      </w:r>
    </w:p>
    <w:p>
      <w:pPr>
        <w:spacing w:after="120" w:line="276" w:lineRule="auto"/>
        <w:ind w:left="567" w:hanging="567"/>
        <w:jc w:val="left"/>
      </w:pPr>
      <w:r>
        <w:t>[15] Y. Geifman, R. El-Yaniv, Selective Classification for Deep Neural Networks, NeurIPS 2017. https://arxiv.org/abs/1705.08500</w:t>
      </w:r>
    </w:p>
    <w:p>
      <w:pPr>
        <w:spacing w:after="120" w:line="276" w:lineRule="auto"/>
        <w:ind w:left="567" w:hanging="567"/>
        <w:jc w:val="left"/>
      </w:pPr>
      <w:r>
        <w:t>[16] S. Sagawa, P. W. Koh, T. B. Hashimoto, P. Liang, Distributionally Robust Neural Networks for Group Shifts, ICLR 2020. https://arxiv.org/abs/1911.08731</w:t>
      </w:r>
    </w:p>
    <w:p>
      <w:pPr>
        <w:spacing w:after="120" w:line="276" w:lineRule="auto"/>
        <w:ind w:left="567" w:hanging="567"/>
        <w:jc w:val="left"/>
      </w:pPr>
      <w:r>
        <w:t>[17] M. Buda, A. Maki, M. A. Mazurowski, A systematic study of the class imbalance problem in convolutional neural networks, Neural Networks 106, 2018. https://arxiv.org/abs/1710.05381</w:t>
      </w:r>
    </w:p>
    <w:p>
      <w:pPr>
        <w:spacing w:after="120" w:line="276" w:lineRule="auto"/>
        <w:ind w:left="567" w:hanging="567"/>
        <w:jc w:val="left"/>
      </w:pPr>
      <w:r>
        <w:t>[18] PyTorch documentation, torch.utils.data.WeightedRandomSampler. https://docs.pytorch.org/docs/stable/data.html#torch.utils.data.WeightedRandomSampler</w:t>
      </w:r>
    </w:p>
    <w:p>
      <w:pPr>
        <w:spacing w:after="120" w:line="276" w:lineRule="auto"/>
        <w:ind w:left="567" w:hanging="567"/>
        <w:jc w:val="left"/>
      </w:pPr>
      <w:r>
        <w:t>[19] R. Daneshjou et al., Disparities in dermatology AI performance on a diverse, curated clinical image set, Science Advances 8(32), 2022. https://doi.org/10.1126/sciadv.abq6147</w:t>
      </w:r>
    </w:p>
    <w:p>
      <w:pPr>
        <w:spacing w:after="120" w:line="276" w:lineRule="auto"/>
        <w:ind w:left="567" w:hanging="567"/>
        <w:jc w:val="left"/>
      </w:pPr>
      <w:r>
        <w:t>[20] M. Groh et al., Evaluating Deep Neural Networks Trained on Clinical Images in Dermatology with the Fitzpatrick 17k Dataset, CVPR Workshops 2021. https://arxiv.org/abs/2104.09957</w:t>
      </w:r>
    </w:p>
    <w:p>
      <w:pPr>
        <w:spacing w:after="120" w:line="276" w:lineRule="auto"/>
        <w:ind w:left="567" w:hanging="567"/>
        <w:jc w:val="left"/>
      </w:pPr>
      <w:r>
        <w:t>[21] G. Alain, Y. Bengio, Understanding intermediate layers using linear classifier probes, arXiv 2016. https://arxiv.org/abs/1610.01644</w:t>
      </w:r>
    </w:p>
    <w:p>
      <w:pPr>
        <w:spacing w:after="120" w:line="276" w:lineRule="auto"/>
        <w:ind w:left="567" w:hanging="567"/>
        <w:jc w:val="left"/>
      </w:pPr>
      <w:r>
        <w:t>[22] A. Radford et al., Learning Transferable Visual Models From Natural Language Supervision, ICML 2021. https://arxiv.org/abs/2103.00020</w:t>
      </w:r>
    </w:p>
    <w:p>
      <w:pPr>
        <w:spacing w:after="120" w:line="276" w:lineRule="auto"/>
        <w:ind w:left="567" w:hanging="567"/>
        <w:jc w:val="left"/>
      </w:pPr>
      <w:r>
        <w:t>[23] S. Yan et al., A multimodal vision foundation model for clinical dermatology (PanDerm), Nature Medicine 2025. https://www.nature.com/articles/s41591-025-03747-y</w:t>
      </w:r>
    </w:p>
    <w:p>
      <w:pPr>
        <w:spacing w:after="120" w:line="276" w:lineRule="auto"/>
        <w:ind w:left="567" w:hanging="567"/>
        <w:jc w:val="left"/>
      </w:pPr>
      <w:r>
        <w:t>[24] S. Yan et al., Derm1M: A Million-scale Vision-Language Dataset Aligned with Clinical Ontology Knowledge for Dermatology (DermLIP), ICCV 2025. https://arxiv.org/abs/2503.14911</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