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3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3.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possible explanation is that part of the questionnaire's information (e.g. body area or lesion texture) is already visible in the photo. The result is limited by the size of the set (about 1,270 training and 270 test cases per seed) and by the five seeds, which can only detect differences of about 0.03-0.04 macro-F1.</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