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2"/>
      </w:pPr>
      <w:r>
        <w:t>5.11 Evaluarea externă și sonda liniară</w:t>
        <w:tab/>
        <w:t>13</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w:t>
      </w:r>
      <w:r>
        <w:rPr>
          <w:rFonts w:ascii="Courier New" w:hAnsi="Courier New" w:eastAsia="Courier New" w:cs="Courier New"/>
          <w:sz w:val="21"/>
        </w:rPr>
        <w:t>ml/models/fusion_model.py</w:t>
      </w:r>
      <w:r>
        <w:t xml:space="preserve">, clasa </w:t>
      </w:r>
      <w:r>
        <w:rPr>
          <w:rFonts w:ascii="Courier New" w:hAnsi="Courier New" w:eastAsia="Courier New" w:cs="Courier New"/>
          <w:sz w:val="21"/>
        </w:rPr>
        <w:t>LateFusionNet</w:t>
      </w:r>
      <w:r>
        <w:t>). Ramura de imagine este aceeași rețea ca la modelul doar cu imagine, EfficientNet-B0 [7] sau MobileNetV3-Large, din biblioteca timm [8] cu ponderi preantrenate pe ImageNet (învățare prin transfer: rețeaua pornește de la ce a învățat deja pe un set mare de imagini și este reantrenată pe SCIN), fără stratul de clasificare; ieșirea ei este vectorul de trăsături obținut prin medierea hărților de activare (1.280 de valori). Ramura chestionarului este o rețea cu două straturi de câte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În varianta de bază (concat), cele două ieșiri se concatenează și trec printr-un strat final care produce scorul pentru fiecare dintre cele patru categorii.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pierderea (loss, măsura erorii pe care o minimizează antrenarea) este entropia încrucișată ponderată invers proporțional cu frecvența clasei. Modelul cu fuziune este antrenat cu exact aceleași trei etape ca modelul doar cu imagine (descrise mai jos), cu optimizatorul AdamW [9], descreștere cosinusoidală a ratei de învățare [10] și precizie mixtă pe GPU, astfel încât singura diferență dintre cele două modele este chestionarul. Ramura chestionarului și straturile de fuziune sunt noi, deci se antrenează în toate etapele, cu rata stratului de clasificare. Se păstrează punctul de control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ind w:firstLine="709"/>
        <w:jc w:val="both"/>
      </w:pPr>
      <w:r>
        <w:t xml:space="preserve">Modelul de referință doar cu imagine reprezintă primul braț al experimentului E1 și este rulat de scriptul </w:t>
      </w:r>
      <w:r>
        <w:rPr>
          <w:rFonts w:ascii="Courier New" w:hAnsi="Courier New" w:eastAsia="Courier New" w:cs="Courier New"/>
          <w:sz w:val="21"/>
        </w:rPr>
        <w:t>ml/run_image_only.py</w:t>
      </w:r>
      <w:r>
        <w:t xml:space="preserve"> pe toate cele cinci variante de împărțire (seed-urile 0–4). Un seed este numărul care inițializează generatorul de numere aleatoare; fiecare seed are propria împărțire pe cazuri, propria ordine a exemplelor și propria augmentare, deci repetarea pe cinci seed-uri arată cât de mult variază rezultatul doar din cauza hazardului. Pentru fiecare seed se antrenează modelul în cele trei etape, se păstrează punctul de control (checkpoint, adică ponderile salvate ale rețelei) cu cel mai bun macro-F1 pe validare, iar acesta este testat o singură dată. Predicțiile de test sunt evaluate cu </w:t>
      </w:r>
      <w:r>
        <w:rPr>
          <w:rFonts w:ascii="Courier New" w:hAnsi="Courier New" w:eastAsia="Courier New" w:cs="Courier New"/>
          <w:sz w:val="21"/>
        </w:rPr>
        <w:t>ml/evaluate.py</w:t>
      </w:r>
      <w:r>
        <w:t xml:space="preserve">, iar rezultatele celor cinci seed-uri sunt raportate ca medie ± abatere standard (abaterea standard măsoară cât de împrăștiate sunt cele cinci valori în jurul mediei), în fișierul </w:t>
      </w:r>
      <w:r>
        <w:rPr>
          <w:rFonts w:ascii="Courier New" w:hAnsi="Courier New" w:eastAsia="Courier New" w:cs="Courier New"/>
          <w:sz w:val="21"/>
        </w:rPr>
        <w:t>e1_image_only_test.csv</w:t>
      </w:r>
      <w:r>
        <w:t>.</w:t>
      </w:r>
    </w:p>
    <w:p>
      <w:pPr>
        <w:ind w:firstLine="709"/>
        <w:jc w:val="both"/>
      </w:pPr>
      <w:r>
        <w:t>Dezechilibrul claselor înseamnă că unele categorii au mult mai multe exemple decât altele: în setul de antrenare al seed-ului 0 sunt 748 de cazuri eczema_dermatitis, 387 normal_other, 101 acne și doar 30 redness_rosacea. Fără corecție, rețeaua ar învăța în principal clasa majoritară. Două corecții uzuale [17] sunt comparate printr-un studiu de ablație (ablation study), adică un experiment în care se schimbă o singură componentă și restul rămâne identic, pentru a vedea efectul acelei componente. (a) Pierderea ponderată pe clase: entropia încrucișată primește pentru fiecare clasă o pondere invers proporțională cu frecvența ei (numărul total de cazuri împărțit la numărul de clase înmulțit cu numărul de cazuri ale clasei; la seed-ul 0, de exemplu, 10,6 pentru redness_rosacea și 0,42 pentru eczema_dermatitis), iar exemplele sunt parcurse în ordine aleatoare, fiecare o dată pe epocă. (b) Eșantionarea ponderată (WeightedRandomSampler [18]): pierderea nu este ponderată, dar cazurile sunt extrase cu înlocuire (același caz poate fi extras de mai multe ori în aceeași epocă) cu probabilitatea invers proporțională cu numărul de cazuri al clasei lor, astfel încât fiecare clasă ocupă în medie un sfert din extrageri. Cele două corecții nu sunt folosite niciodată împreună, deoarece ar compensa dezechilibrul de două ori.</w:t>
      </w:r>
    </w:p>
    <w:p>
      <w:pPr>
        <w:ind w:firstLine="709"/>
        <w:jc w:val="both"/>
      </w:pPr>
      <w:r>
        <w:t>La eșantionarea ponderată, un caz rar este extras de aproximativ zece ori pe epocă (redness_rosacea: 30 de cazuri pentru circa 316 extrageri). Deoarece imaginea și augmentarea unui caz depind de seed, de epocă și de caz, toate copiile ar fi fost identice; scriptul numerotează extragerile repetate și fiecare repetare primește propria imagine a cazului (dacă are mai multe) și propria augmentare. Prima extragere rămâne identică cu cea din varianta (a), deci singura diferență dintre cele două variante este metoda de corecție. Riscul cunoscut al eșantionării este supraînvățarea (overfitting) pe puținele cazuri rare, adică memorarea lor în locul învățării unor trăsături generale; validarea pe macro-F1 și oprirea timpurie limitează acest risc. Ablația se rulează pentru ambele rețele (EfficientNet-B0 și MobileNetV3-Large), iar varianta cu cel mai bun macro-F1 mediu pe validare devine referința doar cu imagine din E1.</w:t>
      </w:r>
    </w:p>
    <w:p>
      <w:pPr>
        <w:ind w:firstLine="709"/>
        <w:jc w:val="both"/>
      </w:pPr>
      <w:r>
        <w:t>Al doilea braț al experimentului E1 este modelul doar cu chestionar (</w:t>
      </w:r>
      <w:r>
        <w:rPr>
          <w:rFonts w:ascii="Courier New" w:hAnsi="Courier New" w:eastAsia="Courier New" w:cs="Courier New"/>
          <w:sz w:val="21"/>
        </w:rPr>
        <w:t>ml/models/q_model.py</w:t>
      </w:r>
      <w:r>
        <w:t xml:space="preserve">, rulat de </w:t>
      </w:r>
      <w:r>
        <w:rPr>
          <w:rFonts w:ascii="Courier New" w:hAnsi="Courier New" w:eastAsia="Courier New" w:cs="Courier New"/>
          <w:sz w:val="21"/>
        </w:rPr>
        <w:t>ml/run_q_only.py</w:t>
      </w:r>
      <w:r>
        <w:t>), care arată cât semnal conține chestionarul singur, fără fotografie. Este un perceptron multistrat (multilayer perceptron, MLP) [25]: o rețea formată din straturi liniare succesive, fiecare urmat de o funcție de activare ReLU (care păstrează valorile pozitive și le înlocuiește pe cele negative cu 0) și de dropout 0,2 (în antrenare, 20% dintre neuroni sunt ignorați la întâmplare, ca rețeaua să nu memoreze exemplele). Intrarea este vectorul răspunsurilor codificate (40 de valori) alăturat măștii de valori lipsă (6 valori, câte una pe întrebare), astfel încât rețeaua poate deosebi un răspuns „nu” de o întrebare la care nu s-a răspuns; urmează două straturi ascunse de câte 64 de neuroni și un strat de ieșire cu patru valori. Modelul folosește exact aceleași cazuri, împărțiri, seed-uri, pierdere ponderată pe clase, oprire timpurie pe macro-F1 de validare și protocol de evaluare ca modelul cu imagine. Setul de test este evaluat și cu o proporție r din răspunsuri ascunse (r = 0; 0,25; 0,5; 0,75; 1), iar răspunsurile ascunse sunt exact aceleași ca la evaluarea modelului cu fuziune, deci curbele pot fi comparate direct.</w:t>
      </w:r>
    </w:p>
    <w:p>
      <w:pPr>
        <w:ind w:firstLine="709"/>
        <w:jc w:val="both"/>
      </w:pPr>
      <w:r>
        <w:t>Pe lângă concatenare, sunt implementate două variante de fuziune mai puternice, care permit chestionarului să influențeze felul în care este folosită imaginea. (1) Fuziunea cu poartă (gated multimodal unit) [26]: ambele ramuri sunt proiectate la aceeași dimensiune (256), iar o poartă, adică un vector de valori între 0 și 1 calculat din ambele ramuri, decide pentru fiecare dimensiune cât provine din imagine și cât din chestionar. Când masca arată că lipsesc răspunsurile, poarta poate învăța să se bazeze pe fotografie; valoarea medie a porții poate fi inspectată pentru fiecare caz. (2) Condiționarea de tip FiLM (Feature-wise Linear Modulation) [27]: chestionarul produce doi vectori, γ și β, care scalează și deplasează fiecare trăsătură a imaginii (f' = f·(1 + γ) + β). γ și β pornesc de la 0, deci la începutul antrenării modelul se comportă exact ca modelul doar cu imagine. Varianta este aleasă din configurație (</w:t>
      </w:r>
      <w:r>
        <w:rPr>
          <w:rFonts w:ascii="Courier New" w:hAnsi="Courier New" w:eastAsia="Courier New" w:cs="Courier New"/>
          <w:sz w:val="21"/>
        </w:rPr>
        <w:t>fusion.variant</w:t>
      </w:r>
      <w:r>
        <w:t xml:space="preserve">), iar modelele antrenate sunt salvate ca </w:t>
      </w:r>
      <w:r>
        <w:rPr>
          <w:rFonts w:ascii="Courier New" w:hAnsi="Courier New" w:eastAsia="Courier New" w:cs="Courier New"/>
          <w:sz w:val="21"/>
        </w:rPr>
        <w:t>fusion_late_&lt;variantă&gt;_seed&lt;k&gt;.pt</w:t>
      </w:r>
      <w:r>
        <w:t xml:space="preserve"> de scriptul </w:t>
      </w:r>
      <w:r>
        <w:rPr>
          <w:rFonts w:ascii="Courier New" w:hAnsi="Courier New" w:eastAsia="Courier New" w:cs="Courier New"/>
          <w:sz w:val="21"/>
        </w:rPr>
        <w:t>ml/run_fusion.py</w:t>
      </w:r>
      <w:r>
        <w:t>.</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ind w:firstLine="709"/>
        <w:jc w:val="both"/>
      </w:pPr>
      <w:r>
        <w:t xml:space="preserve">Evaluarea este realizată de scriptul </w:t>
      </w:r>
      <w:r>
        <w:rPr>
          <w:rFonts w:ascii="Courier New" w:hAnsi="Courier New" w:eastAsia="Courier New" w:cs="Courier New"/>
          <w:sz w:val="21"/>
        </w:rPr>
        <w:t>ml/evaluate.py</w:t>
      </w:r>
      <w:r>
        <w:t>, care citește un fișier standard de predicții (</w:t>
      </w:r>
      <w:r>
        <w:rPr>
          <w:rFonts w:ascii="Courier New" w:hAnsi="Courier New" w:eastAsia="Courier New" w:cs="Courier New"/>
          <w:sz w:val="21"/>
        </w:rPr>
        <w:t>predictions.csv</w:t>
      </w:r>
      <w:r>
        <w:t>, câte un rând pe caz, cu categoria reală, categoria prezisă, încrederea, eFST, eMST, seed-ul și proporția de răspunsuri ascunse). Pe lângă macro-F1 și acuratețea echilibrată, se raportează precizia, recall-ul și F1 pentru fiecare categorie. Precizia arată ce proporție dintre cazurile atribuite unei categorii aparțin cu adevărat ei, iar recall-ul ce proporție dintre cazurile unei categorii au fost găsite.</w:t>
      </w:r>
    </w:p>
    <w:p>
      <w:pPr>
        <w:ind w:firstLine="709"/>
        <w:jc w:val="both"/>
      </w:pPr>
      <w:r>
        <w:t>Calibrarea arată dacă încrederea modelului corespunde realității: un model bine calibrat care afirmă 80% încredere are dreptate în aproximativ 80% din cazuri. Încrederea este probabilitatea maximă dată de model unei categorii. Se măsoară prin eroarea de calibrare așteptată (Expected Calibration Error, ECE) [14]: predicțiile sunt împărțite în 15 intervale egale după încredere, iar ECE este media ponderată a diferenței dintre încrederea medie și acuratețea din fiecare interval. Pentru o aplicație informativă contează și curba risc-acoperire (risk-coverage) [15]: dacă aplicația răspunde doar când încrederea depășește un prag și altfel recomandă consultarea unui specialist, curba arată acuratețea obținută pentru fiecare proporție de cazuri la care răspunde (acoperire). Aria de sub curba riscului (AURC) rezumă curba într-un singur număr; o valoare mai mică este mai bună.</w:t>
      </w:r>
    </w:p>
    <w:p>
      <w:pPr>
        <w:ind w:firstLine="709"/>
        <w:jc w:val="both"/>
      </w:pPr>
      <w:r>
        <w:t>Echitatea este raportată pe ambele scale de ton, eFST (I–II, III–IV, V–VI) și eMST (1–3, 4–6, 7–10). Pentru fiecare scală se identifică grupul cel mai defavorizat (worst group) [16], adică grupul de ton cu cel mai mic macro-F1, împreună cu diferența față de grupul cel mai bun. Doar grupurile cu cel puțin 20 de cazuri pot fi desemnate astfel, deoarece pe grupuri mai mici estimarea este prea nesigură; grupurile excluse sunt menționate explicit. Intervalele de încredere bootstrap [12] reeșantionează cazuri (</w:t>
      </w:r>
      <w:r>
        <w:rPr>
          <w:rFonts w:ascii="Courier New" w:hAnsi="Courier New" w:eastAsia="Courier New" w:cs="Courier New"/>
          <w:sz w:val="21"/>
        </w:rPr>
        <w:t>case_id</w:t>
      </w:r>
      <w:r>
        <w:t>), nu rânduri: toate rândurile unui caz sunt păstrate împreună, astfel încât observațiile aceluiași caz nu sunt tratate ca independente. Rezultatele celor cinci seed-uri sunt rezumate prin medie, abatere standard, minim și maxim.</w:t>
      </w:r>
    </w:p>
    <w:p>
      <w:pPr>
        <w:ind w:firstLine="709"/>
        <w:jc w:val="both"/>
      </w:pPr>
      <w:r>
        <w:t>Intervalul de încredere al ECE necesită o corecție. Prin reeșantionarea cazurilor cu înlocuire, fiecare interval de încredere conține mai puține cazuri distincte, diferența dintre acuratețe și încredere devine mai zgomotoasă și, fiind o valoare absolută, nu poate fi negativă; de aceea ECE calculat pe eșantioanele bootstrap este în medie mai mare decât cel calculat pe setul de test (eroare sistematică, bias) [29]. Intervalul percentil obișnuit se deplasează astfel în sus și, după medierea pe cinci seed-uri, poate chiar să nu mai conțină valoarea estimată. Pentru ECE se folosește de aceea intervalul percentil deplasat cu bias-ul bootstrap (media eșantioanelor minus valoarea estimată); pentru celelalte metrici rămâne intervalul percentil.</w:t>
      </w:r>
    </w:p>
    <w:p>
      <w:pPr>
        <w:pStyle w:val="Heading2"/>
      </w:pPr>
      <w:r>
        <w:t>5.11 Evaluarea externă și sonda liniară</w:t>
      </w:r>
    </w:p>
    <w:p>
      <w:pPr>
        <w:ind w:firstLine="709"/>
        <w:jc w:val="both"/>
      </w:pPr>
      <w:r>
        <w:t>Pentru a verifica dacă modelul doar cu imagine antrenat pe SCIN funcționează și pe fotografii provenite din alte surse, acesta este testat fără nicio reantrenare (evaluare externă, zero-shot) pe două seturi publice: DDI (Diverse Dermatology Images) [19], 656 de imagini clinice confirmate prin biopsie (examinarea la microscop a unei mostre de țesut), grupate pe tonuri Fitzpatrick I–II, III–IV și V–VI, și Fitzpatrick17k [20], 16.577 de imagini din atlase dermatologice online, cu 114 diagnostice și tipul Fitzpatrick 1–6. Niciunul nu are chestionar, deci se testează doar modelul cu imagine. Diferența dintre sursa de antrenare și cea de testare (alt aparat, altă încadrare, alte boli) se numește schimbare de domeniu (domain shift); scăderea performanței pe aceste seturi arată cât de mult depinde modelul de particularitățile SCIN.</w:t>
      </w:r>
    </w:p>
    <w:p>
      <w:pPr>
        <w:ind w:firstLine="709"/>
        <w:jc w:val="both"/>
      </w:pPr>
      <w:r>
        <w:t xml:space="preserve">Diagnosticele externe sunt aduse la cele patru categorii țintă cu același fișier </w:t>
      </w:r>
      <w:r>
        <w:rPr>
          <w:rFonts w:ascii="Courier New" w:hAnsi="Courier New" w:eastAsia="Courier New" w:cs="Courier New"/>
          <w:sz w:val="21"/>
        </w:rPr>
        <w:t>label_map.yaml</w:t>
      </w:r>
      <w:r>
        <w:t xml:space="preserve">, după normalizare (litere mici, cratima citită ca spațiu), plus o listă scurtă de sinonime pe set de date (de exemplu „acne vulgaris” → acne, „rhinophyma” → redness_rosacea). Fiecare rând primește un statut scris într-un raport: păstrat, categorie nețintă (de exemplu cancerele, care sunt </w:t>
      </w:r>
      <w:r>
        <w:rPr>
          <w:rFonts w:ascii="Courier New" w:hAnsi="Courier New" w:eastAsia="Courier New" w:cs="Courier New"/>
          <w:sz w:val="21"/>
        </w:rPr>
        <w:t>excluded</w:t>
      </w:r>
      <w:r>
        <w:t>), nemapat (diagnostic necunoscut, niciodată ghicit), etichetă greșită conform controlului de calitate al Fitzpatrick17k sau imagine lipsă; doar rândurile păstrate sunt evaluate. În Fitzpatrick17k, 4.012 imagini corespund categoriilor țintă (normal_other 1.892, eczema_dermatitis 1.009, acne 857, redness_rosacea 254), dar normal_other este dominată aici de psoriazis, deci compoziția categoriei diferă de SCIN. O limitare practică: majoritatea adreselor de imagini din Fitzpatrick17k (atlasul DermaAmin) nu mai funcționează, iar setul complet se obține de la autori prin formular. Imaginile nu sunt redistribuite (licența CC BY-NC-SA 3.0 pentru Fitzpatrick17k; condițiile Stanford AIMI pentru DDI). Tonul DDI 12 / 34 / 56 este tratat ca grupul eFST I–II / III–IV / V–VI, iar predicțiile tuturor celor cinci modele (câte unul pe seed) sunt evaluate cu același protocol ca pe SCIN.</w:t>
      </w:r>
    </w:p>
    <w:p>
      <w:pPr>
        <w:ind w:firstLine="709"/>
        <w:jc w:val="both"/>
      </w:pPr>
      <w:r>
        <w:t xml:space="preserve">Ca bază de comparație pentru experimentul E5 se folosește o sondă liniară (linear probe) [21]. Un model fundament (foundation model) este o rețea mare, preantrenată pe foarte multe imagini, ale cărei reprezentări pot fi refolosite pentru multe sarcini; în dermatologie, exemple sunt PanDerm [23] și DermLIP [24]. Rețeaua rămâne înghețată (ponderile ei nu se schimbă): pentru fiecare caz SCIN se calculează o singură dată vectorul de trăsături (features), adică lista de numere prin care rețeaua descrie imaginea, iar peste aceste trăsături se antrenează doar un strat liniar, echivalent cu o regresie logistică multinomială. Trăsăturile sunt standardizate (se scade media și se împarte la abaterea standard, calculate doar pe setul de antrenare), pierderea este entropia încrucișată ponderată pe clase, iar o penalizare L2 (suma pătratelor ponderilor, înmulțită cu o constantă) împiedică ponderile să devină prea mari; constanta este aleasă pe validare dintre 0 și 100. Evaluarea prin sondă liniară este metoda standard de comparare a reprezentărilor [22]: dacă o sondă simplă peste un model fundament egalează rețeaua reantrenată complet, avantajul vine din reprezentare, nu din antrenare. Scriptul </w:t>
      </w:r>
      <w:r>
        <w:rPr>
          <w:rFonts w:ascii="Courier New" w:hAnsi="Courier New" w:eastAsia="Courier New" w:cs="Courier New"/>
          <w:sz w:val="21"/>
        </w:rPr>
        <w:t>ml/foundation_probe.py</w:t>
      </w:r>
      <w:r>
        <w:t xml:space="preserve"> acceptă orice model timm, OpenCLIP sau Hugging Face, astfel încât ponderile PanDerm și DermLIP pot fi folosite fără modificarea codului.</w:t>
      </w:r>
    </w:p>
    <w:p>
      <w:pPr>
        <w:ind w:firstLine="709"/>
        <w:jc w:val="both"/>
      </w:pPr>
      <w:r>
        <w:t>Imaginile Fitzpatrick17k au fost obținute de la autori în baza unui acord prin care ele trebuie șterse la încheierea cercetării. De aceea sunt folosite exclusiv pentru testare, niciodată pentru antrenare, nu sunt redistribuite și nu apar în aplicație, în depozitul de cod sau în lucrare; se raportează doar rezultate agregate. Modelul livrat în aplicație este antrenat pe SCIN, a cărui licență permite reproducerea și adaptarea cu atribuire.</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completat: teste, celelalte rezultate ale modelului, feedback de la utilizatori.]</w:t>
      </w:r>
    </w:p>
    <w:p>
      <w:pPr>
        <w:pStyle w:val="Heading2"/>
      </w:pPr>
      <w:r>
        <w:t>8.1 Modelul doar cu chestionar (E1, brațul 2)</w:t>
      </w:r>
    </w:p>
    <w:p>
      <w:pPr>
        <w:ind w:firstLine="709"/>
        <w:jc w:val="both"/>
      </w:pPr>
      <w:r>
        <w:t>Pe cele cinci seed-uri, modelul doar cu chestionar obține pe test macro-F1 0,390 ± 0,038 (medie ± abatere standard), acuratețe echilibrată 0,443 ± 0,043 și ECE 0,083 ± 0,020 (Tabelul 8.1). Antrenarea durează 6–11 secunde pe seed, iar oprirea timpurie alege epoci între 16 și 51. Pe categorii, F1 este 0,569 pentru eczema_dermatitis, 0,429 pentru normal_other, 0,343 pentru redness_rosacea și 0,218 pentru acne. Pentru redness_rosacea setul de test are în medie doar 6 cazuri, deci valoarea este foarte nesigură (abatere standard 0,112). Chestionarul conține așadar semnal clar peste nivelul întâmplării, dar insuficient pentru a separa acneea, care pe baza răspunsurilor seamănă cu celelalte probleme.</w:t>
      </w:r>
    </w:p>
    <w:p>
      <w:pPr>
        <w:ind w:firstLine="709"/>
        <w:jc w:val="both"/>
      </w:pPr>
      <w:r>
        <w:t>Tabelul 8.1. Modelul doar cu chestionar pe test (5 seed-uri, medie ± abatere standard), după proporția de răspunsuri ascunse.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răspunsuri ascunse</w:t>
            </w:r>
          </w:p>
        </w:tc>
        <w:tc>
          <w:tcPr>
            <w:tcW w:type="dxa" w:w="3024"/>
          </w:tcPr>
          <w:p>
            <w:r>
              <w:rPr>
                <w:b/>
              </w:rPr>
              <w:t>Macro-F1</w:t>
            </w:r>
          </w:p>
        </w:tc>
        <w:tc>
          <w:tcPr>
            <w:tcW w:type="dxa" w:w="3024"/>
          </w:tcPr>
          <w:p>
            <w:r>
              <w:rPr>
                <w:b/>
              </w:rPr>
              <w:t>Acuratețe echilibrată</w:t>
            </w:r>
          </w:p>
        </w:tc>
      </w:tr>
      <w:tr>
        <w:tc>
          <w:tcPr>
            <w:tcW w:type="dxa" w:w="3024"/>
          </w:tcPr>
          <w:p>
            <w:r>
              <w:t>0 (naturale)</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ind w:firstLine="709"/>
        <w:jc w:val="both"/>
      </w:pPr>
      <w:r>
        <w:t>Când răspunsurile sunt ascunse, performanța scade constant: macro-F1 0,390 cu răspunsurile naturale, 0,325 cu 25% ascunse, 0,264 cu 50%, 0,221 cu 75% și 0,145 cu toate ascunse. Fără niciun răspuns, modelul dă aceeași categorie tuturor cazurilor (la seed-ul 0, normal_other), iar acuratețea echilibrată este exact 0,250, adică nivelul întâmplării pentru patru categorii. Acest rezultat confirmă că masca de valori lipsă funcționează așa cum s-a proiectat: un chestionar gol nu aduce nicio informație falsă.</w:t>
      </w:r>
    </w:p>
    <w:p>
      <w:pPr>
        <w:ind w:firstLine="709"/>
        <w:jc w:val="both"/>
      </w:pPr>
      <w:r>
        <w:t>Pe tonuri de piele (eFST), macro-F1 este 0,401 ± 0,045 pentru I–II (117 cazuri în medie), 0,342 ± 0,100 pentru III–IV (120 de cazuri) și 0,475 ± 0,131 pentru V–VI (23 de cazuri). Grupul cel mai defavorizat este III–IV la trei seed-uri și I–II la două, cu macro-F1 mediu 0,319 ± 0,067. Valoarea mai mare pentru V–VI nu trebuie interpretată ca un avantaj: grupul are puțin peste 20 de cazuri, iar abaterea standard între seed-uri (0,131) este mai mare decât diferențele dintre grupuri. Aceste valori sunt referința inferioară cu care vor fi comparate modelul doar cu imagine și modelul cu fuziune (RQ1).</w:t>
      </w:r>
    </w:p>
    <w:p>
      <w:pPr>
        <w:pStyle w:val="Heading2"/>
      </w:pPr>
      <w:r>
        <w:t>8.2 Imagine, fuziune și chestionar: prima comparație (E1)</w:t>
      </w:r>
    </w:p>
    <w:p>
      <w:pPr>
        <w:ind w:firstLine="709"/>
        <w:jc w:val="both"/>
      </w:pPr>
      <w:r>
        <w:t>Prima comparație completă a experimentului E1 folosește EfficientNet-B0, pierderea ponderată pe clase și aceleași cinci seed-uri pentru toate cele trei brațe (Tabelul 8.2). Modelul doar cu imagine obține macro-F1 0,537 ± 0,038, modelul cu fuziune prin concatenare 0,516 ± 0,057, iar modelul doar cu chestionar 0,390 ± 0,038. Pentru a compara două modele pe aceleași seed-uri se folosește un test pereche (paired test): pentru fiecare seed se calculează diferența dintre cele două modele, iar testul verifică dacă media diferențelor este diferită de 0. Diferența fuziune minus imagine este −0,021 ± 0,031, iar testul t pereche [28] dă p = 0,20 (testul Wilcoxon, care nu presupune o distribuție normală, dă p = 0,31). Valoarea p este probabilitatea de a obține o diferență cel puțin atât de mare dacă, în realitate, modelele ar fi la fel de bune; o valoare peste 0,05 înseamnă că diferența nu este semnificativă statistic. Cu doar cinci seed-uri testul are putere mică, deci rezultatul arată că, în această configurație, chestionarul nu îmbunătățește clasificarea, nu că o înrăutățește.</w:t>
      </w:r>
    </w:p>
    <w:p>
      <w:pPr>
        <w:ind w:firstLine="709"/>
        <w:jc w:val="both"/>
      </w:pPr>
      <w:r>
        <w:t>Tabelul 8.2. Rezultate pe test ale celor trei brațe E1 (medie ± abatere standard pe 5 seed-uri, toate răspunsurile disponibile).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seed-uri)</w:t>
            </w:r>
          </w:p>
        </w:tc>
        <w:tc>
          <w:tcPr>
            <w:tcW w:type="dxa" w:w="1814"/>
          </w:tcPr>
          <w:p>
            <w:r>
              <w:rPr>
                <w:b/>
              </w:rPr>
              <w:t>Macro-F1</w:t>
            </w:r>
          </w:p>
        </w:tc>
        <w:tc>
          <w:tcPr>
            <w:tcW w:type="dxa" w:w="1814"/>
          </w:tcPr>
          <w:p>
            <w:r>
              <w:rPr>
                <w:b/>
              </w:rPr>
              <w:t>Acuratețe echilibrată</w:t>
            </w:r>
          </w:p>
        </w:tc>
        <w:tc>
          <w:tcPr>
            <w:tcW w:type="dxa" w:w="1814"/>
          </w:tcPr>
          <w:p>
            <w:r>
              <w:rPr>
                <w:b/>
              </w:rPr>
              <w:t>ECE</w:t>
            </w:r>
          </w:p>
        </w:tc>
        <w:tc>
          <w:tcPr>
            <w:tcW w:type="dxa" w:w="1814"/>
          </w:tcPr>
          <w:p>
            <w:r>
              <w:rPr>
                <w:b/>
              </w:rPr>
              <w:t>eFST V–VI macro-F1</w:t>
            </w:r>
          </w:p>
        </w:tc>
      </w:tr>
      <w:tr>
        <w:tc>
          <w:tcPr>
            <w:tcW w:type="dxa" w:w="1814"/>
          </w:tcPr>
          <w:p>
            <w:r>
              <w:t>Doar imagine</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Fuziune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Doar chestionar</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ind w:firstLine="709"/>
        <w:jc w:val="both"/>
      </w:pPr>
      <w:r>
        <w:t>Două observații pot explica rezultatul (ipoteze încă netestate). Mai întâi, modelul cu fuziune aproape că nu folosește chestionarul: macro-F1 rămâne între 0,506 și 0,518 indiferent dacă sunt ascunse 0%, 25%, 50%, 75% sau 100% din răspunsuri, deși chestionarul singur conține semnal (0,390). Ramura de imagine (1.280 de trăsături) domină ramura chestionarului (64 de trăsături) în stratul de concatenare, iar ascunderea chestionarului în 30% din exemple în timpul antrenării îi reduce și mai mult contribuția. În al doilea rând, la trei din cinci seed-uri punctul de control ales pentru fuziune provine din etapa 1, din primele trei epoci, deci rețeaua nu a beneficiat de reantrenarea straturilor superioare; macro-F1 pe validare, calculat pe circa 270 de cazuri, variază mult de la o epocă la alta, iar selecția pe validare este zgomotoasă. Pe tonuri de piele, ambele modele sunt cele mai slabe pe grupul eFST V–VI (imagine 0,490 ± 0,175, fuziune 0,445 ± 0,085, circa 23 de cazuri), cu cel mai slab grup V–VI la trei seed-uri pentru modelul cu imagine. Pașii următori sunt variantele de fuziune cu poartă și FiLM, care pot da chestionarului o influență mai mare, și antrenarea fără modality dropout (E2), pentru a separa efectul arhitecturii de cel al ascunderii răspunsurilor.</w:t>
      </w:r>
    </w:p>
    <w:p>
      <w:pPr>
        <w:pStyle w:val="Heading2"/>
      </w:pPr>
      <w:r>
        <w:t>8.3 Variante de fuziune și ansamblu: aduce chestionarul informație nouă?</w:t>
      </w:r>
    </w:p>
    <w:p>
      <w:pPr>
        <w:ind w:firstLine="709"/>
        <w:jc w:val="both"/>
      </w:pPr>
      <w:r>
        <w:t xml:space="preserve">Pentru a afla dacă rezultatul precedent ține de arhitectura fuziunii, scriptul </w:t>
      </w:r>
      <w:r>
        <w:rPr>
          <w:rFonts w:ascii="Courier New" w:hAnsi="Courier New" w:eastAsia="Courier New" w:cs="Courier New"/>
          <w:sz w:val="21"/>
        </w:rPr>
        <w:t>ml/run_e1.py</w:t>
      </w:r>
      <w:r>
        <w:t xml:space="preserve"> antrenează pe aceleași cinci seed-uri încă trei variante: fuziunea cu poartă, fuziunea FiLM și fuziunea prin concatenare fără modality dropout. Se adaugă și un ansamblu (ensemble) al celor două modele antrenate separat: probabilitățile modelului doar cu imagine și ale celui doar cu chestionar sunt combinate prin medie geometrică ponderată (log-linear pooling) [30], p ∝ p_imagine^w · p_chestionar^(1−w), cu ponderea w aleasă pe setul de validare dintre 0; 0,1; ...; 1, fără reantrenare. Dacă ansamblul ar depăși modelul doar cu imagine, ar însemna că chestionarul conține informație pe care fotografia nu o are, dar modelele antrenate împreună nu o folosesc. Toate modelele sunt testate pe exact aceleași cazuri, iar diferențele sunt calculate pereche, pe aceleași cazuri, cu intervale de încredere bootstrap stratificate pe seed (cazurile sunt reeșantionate în setul de test al fiecărui seed, iar diferența este mediată pe seed-uri). Rezultatele sunt în Tabelul 8.3 și în fișierele </w:t>
      </w:r>
      <w:r>
        <w:rPr>
          <w:rFonts w:ascii="Courier New" w:hAnsi="Courier New" w:eastAsia="Courier New" w:cs="Courier New"/>
          <w:sz w:val="21"/>
        </w:rPr>
        <w:t>ml/results/e1/e1_summary.csv</w:t>
      </w:r>
      <w:r>
        <w:t xml:space="preserve"> și </w:t>
      </w:r>
      <w:r>
        <w:rPr>
          <w:rFonts w:ascii="Courier New" w:hAnsi="Courier New" w:eastAsia="Courier New" w:cs="Courier New"/>
          <w:sz w:val="21"/>
        </w:rPr>
        <w:t>e1_table.md</w:t>
      </w:r>
      <w:r>
        <w:t>.</w:t>
      </w:r>
    </w:p>
    <w:p>
      <w:pPr>
        <w:ind w:firstLine="709"/>
        <w:jc w:val="both"/>
      </w:pPr>
      <w:r>
        <w:t>Tabelul 8.3. Toate brațele E1 pe test (EfficientNet-B0, pierdere ponderată, 5 seed-uri; medie ± abatere standard, interval de încredere bootstrap stratificat pe seed; diferențe pereche pe aceleași cazuri).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w:t>
            </w:r>
          </w:p>
        </w:tc>
        <w:tc>
          <w:tcPr>
            <w:tcW w:type="dxa" w:w="1814"/>
          </w:tcPr>
          <w:p>
            <w:r>
              <w:rPr>
                <w:b/>
              </w:rPr>
              <w:t>Macro-F1</w:t>
            </w:r>
          </w:p>
        </w:tc>
        <w:tc>
          <w:tcPr>
            <w:tcW w:type="dxa" w:w="1814"/>
          </w:tcPr>
          <w:p>
            <w:r>
              <w:rPr>
                <w:b/>
              </w:rPr>
              <w:t>IÎ 95%</w:t>
            </w:r>
          </w:p>
        </w:tc>
        <w:tc>
          <w:tcPr>
            <w:tcW w:type="dxa" w:w="1814"/>
          </w:tcPr>
          <w:p>
            <w:r>
              <w:rPr>
                <w:b/>
              </w:rPr>
              <w:t>Diferență față de imagine [IÎ 95%]</w:t>
            </w:r>
          </w:p>
        </w:tc>
        <w:tc>
          <w:tcPr>
            <w:tcW w:type="dxa" w:w="1814"/>
          </w:tcPr>
          <w:p>
            <w:r>
              <w:rPr>
                <w:b/>
              </w:rPr>
              <w:t>Macro-F1, răspunsuri ascunse</w:t>
            </w:r>
          </w:p>
        </w:tc>
      </w:tr>
      <w:tr>
        <w:tc>
          <w:tcPr>
            <w:tcW w:type="dxa" w:w="1814"/>
          </w:tcPr>
          <w:p>
            <w:r>
              <w:t>Doar imagine</w:t>
            </w:r>
          </w:p>
        </w:tc>
        <w:tc>
          <w:tcPr>
            <w:tcW w:type="dxa" w:w="1814"/>
          </w:tcPr>
          <w:p>
            <w:r>
              <w:t>0,537 ± 0,038</w:t>
            </w:r>
          </w:p>
        </w:tc>
        <w:tc>
          <w:tcPr>
            <w:tcW w:type="dxa" w:w="1814"/>
          </w:tcPr>
          <w:p>
            <w:r>
              <w:t>[0,493; 0,572]</w:t>
            </w:r>
          </w:p>
        </w:tc>
        <w:tc>
          <w:tcPr>
            <w:tcW w:type="dxa" w:w="1814"/>
          </w:tcPr>
          <w:p>
            <w:r>
              <w:t>-</w:t>
            </w:r>
          </w:p>
        </w:tc>
        <w:tc>
          <w:tcPr>
            <w:tcW w:type="dxa" w:w="1814"/>
          </w:tcPr>
          <w:p>
            <w:r>
              <w:t>-</w:t>
            </w:r>
          </w:p>
        </w:tc>
      </w:tr>
      <w:tr>
        <w:tc>
          <w:tcPr>
            <w:tcW w:type="dxa" w:w="1814"/>
          </w:tcPr>
          <w:p>
            <w:r>
              <w:t>Doar chestionar</w:t>
            </w:r>
          </w:p>
        </w:tc>
        <w:tc>
          <w:tcPr>
            <w:tcW w:type="dxa" w:w="1814"/>
          </w:tcPr>
          <w:p>
            <w:r>
              <w:t>0,390 ± 0,038</w:t>
            </w:r>
          </w:p>
        </w:tc>
        <w:tc>
          <w:tcPr>
            <w:tcW w:type="dxa" w:w="1814"/>
          </w:tcPr>
          <w:p>
            <w:r>
              <w:t>[0,344; 0,428]</w:t>
            </w:r>
          </w:p>
        </w:tc>
        <w:tc>
          <w:tcPr>
            <w:tcW w:type="dxa" w:w="1814"/>
          </w:tcPr>
          <w:p>
            <w:r>
              <w:t>-0,147 [-0,199; -0,096]</w:t>
            </w:r>
          </w:p>
        </w:tc>
        <w:tc>
          <w:tcPr>
            <w:tcW w:type="dxa" w:w="1814"/>
          </w:tcPr>
          <w:p>
            <w:r>
              <w:t>0,145</w:t>
            </w:r>
          </w:p>
        </w:tc>
      </w:tr>
      <w:tr>
        <w:tc>
          <w:tcPr>
            <w:tcW w:type="dxa" w:w="1814"/>
          </w:tcPr>
          <w:p>
            <w:r>
              <w:t>Fuziune concat</w:t>
            </w:r>
          </w:p>
        </w:tc>
        <w:tc>
          <w:tcPr>
            <w:tcW w:type="dxa" w:w="1814"/>
          </w:tcPr>
          <w:p>
            <w:r>
              <w:t>0,516 ± 0,057</w:t>
            </w:r>
          </w:p>
        </w:tc>
        <w:tc>
          <w:tcPr>
            <w:tcW w:type="dxa" w:w="1814"/>
          </w:tcPr>
          <w:p>
            <w:r>
              <w:t>[0,468; 0,551]</w:t>
            </w:r>
          </w:p>
        </w:tc>
        <w:tc>
          <w:tcPr>
            <w:tcW w:type="dxa" w:w="1814"/>
          </w:tcPr>
          <w:p>
            <w:r>
              <w:t>-0,021 [-0,051; +0,007]</w:t>
            </w:r>
          </w:p>
        </w:tc>
        <w:tc>
          <w:tcPr>
            <w:tcW w:type="dxa" w:w="1814"/>
          </w:tcPr>
          <w:p>
            <w:r>
              <w:t>0,506</w:t>
            </w:r>
          </w:p>
        </w:tc>
      </w:tr>
      <w:tr>
        <w:tc>
          <w:tcPr>
            <w:tcW w:type="dxa" w:w="1814"/>
          </w:tcPr>
          <w:p>
            <w:r>
              <w:t>Fuziune cu poartă</w:t>
            </w:r>
          </w:p>
        </w:tc>
        <w:tc>
          <w:tcPr>
            <w:tcW w:type="dxa" w:w="1814"/>
          </w:tcPr>
          <w:p>
            <w:r>
              <w:t>0,514 ± 0,040</w:t>
            </w:r>
          </w:p>
        </w:tc>
        <w:tc>
          <w:tcPr>
            <w:tcW w:type="dxa" w:w="1814"/>
          </w:tcPr>
          <w:p>
            <w:r>
              <w:t>[0,464; 0,550]</w:t>
            </w:r>
          </w:p>
        </w:tc>
        <w:tc>
          <w:tcPr>
            <w:tcW w:type="dxa" w:w="1814"/>
          </w:tcPr>
          <w:p>
            <w:r>
              <w:t>-0,023 [-0,060; +0,011]</w:t>
            </w:r>
          </w:p>
        </w:tc>
        <w:tc>
          <w:tcPr>
            <w:tcW w:type="dxa" w:w="1814"/>
          </w:tcPr>
          <w:p>
            <w:r>
              <w:t>0,521</w:t>
            </w:r>
          </w:p>
        </w:tc>
      </w:tr>
      <w:tr>
        <w:tc>
          <w:tcPr>
            <w:tcW w:type="dxa" w:w="1814"/>
          </w:tcPr>
          <w:p>
            <w:r>
              <w:t>Fuziune FiLM</w:t>
            </w:r>
          </w:p>
        </w:tc>
        <w:tc>
          <w:tcPr>
            <w:tcW w:type="dxa" w:w="1814"/>
          </w:tcPr>
          <w:p>
            <w:r>
              <w:t>0,544 ± 0,043</w:t>
            </w:r>
          </w:p>
        </w:tc>
        <w:tc>
          <w:tcPr>
            <w:tcW w:type="dxa" w:w="1814"/>
          </w:tcPr>
          <w:p>
            <w:r>
              <w:t>[0,497; 0,579]</w:t>
            </w:r>
          </w:p>
        </w:tc>
        <w:tc>
          <w:tcPr>
            <w:tcW w:type="dxa" w:w="1814"/>
          </w:tcPr>
          <w:p>
            <w:r>
              <w:t>+0,008 [-0,023; +0,038]</w:t>
            </w:r>
          </w:p>
        </w:tc>
        <w:tc>
          <w:tcPr>
            <w:tcW w:type="dxa" w:w="1814"/>
          </w:tcPr>
          <w:p>
            <w:r>
              <w:t>0,518</w:t>
            </w:r>
          </w:p>
        </w:tc>
      </w:tr>
      <w:tr>
        <w:tc>
          <w:tcPr>
            <w:tcW w:type="dxa" w:w="1814"/>
          </w:tcPr>
          <w:p>
            <w:r>
              <w:t>Concat fără dropout</w:t>
            </w:r>
          </w:p>
        </w:tc>
        <w:tc>
          <w:tcPr>
            <w:tcW w:type="dxa" w:w="1814"/>
          </w:tcPr>
          <w:p>
            <w:r>
              <w:t>0,503 ± 0,046</w:t>
            </w:r>
          </w:p>
        </w:tc>
        <w:tc>
          <w:tcPr>
            <w:tcW w:type="dxa" w:w="1814"/>
          </w:tcPr>
          <w:p>
            <w:r>
              <w:t>[0,456; 0,538]</w:t>
            </w:r>
          </w:p>
        </w:tc>
        <w:tc>
          <w:tcPr>
            <w:tcW w:type="dxa" w:w="1814"/>
          </w:tcPr>
          <w:p>
            <w:r>
              <w:t>-0,033 [-0,067; -0,002]</w:t>
            </w:r>
          </w:p>
        </w:tc>
        <w:tc>
          <w:tcPr>
            <w:tcW w:type="dxa" w:w="1814"/>
          </w:tcPr>
          <w:p>
            <w:r>
              <w:t>0,495</w:t>
            </w:r>
          </w:p>
        </w:tc>
      </w:tr>
      <w:tr>
        <w:tc>
          <w:tcPr>
            <w:tcW w:type="dxa" w:w="1814"/>
          </w:tcPr>
          <w:p>
            <w:r>
              <w:t>Ansamblu imagine × chestionar</w:t>
            </w:r>
          </w:p>
        </w:tc>
        <w:tc>
          <w:tcPr>
            <w:tcW w:type="dxa" w:w="1814"/>
          </w:tcPr>
          <w:p>
            <w:r>
              <w:t>0,521 ± 0,035</w:t>
            </w:r>
          </w:p>
        </w:tc>
        <w:tc>
          <w:tcPr>
            <w:tcW w:type="dxa" w:w="1814"/>
          </w:tcPr>
          <w:p>
            <w:r>
              <w:t>[0,470; 0,556]</w:t>
            </w:r>
          </w:p>
        </w:tc>
        <w:tc>
          <w:tcPr>
            <w:tcW w:type="dxa" w:w="1814"/>
          </w:tcPr>
          <w:p>
            <w:r>
              <w:t>-0,016 [-0,053; +0,018]</w:t>
            </w:r>
          </w:p>
        </w:tc>
        <w:tc>
          <w:tcPr>
            <w:tcW w:type="dxa" w:w="1814"/>
          </w:tcPr>
          <w:p>
            <w:r>
              <w:t>0,549</w:t>
            </w:r>
          </w:p>
        </w:tc>
      </w:tr>
    </w:tbl>
    <w:p>
      <w:pPr>
        <w:ind w:firstLine="709"/>
        <w:jc w:val="both"/>
      </w:pPr>
      <w:r>
        <w:t>Niciuna dintre variante nu depășește semnificativ modelul doar cu imagine (macro-F1 0,537 ± 0,038). Fuziunea FiLM obține cel mai bun rezultat, 0,544 ± 0,043, dar diferența față de imagine este +0,008 (IÎ 95% −0,023 ... +0,038; mai bună la 3 din 5 seed-uri). Fuziunea cu poartă obține 0,514 ± 0,040 (−0,023 [−0,060; +0,011]), iar ansamblul 0,521 ± 0,035 (−0,016 [−0,053; +0,018]). Fuziunea prin concatenare fără modality dropout este singura variantă semnificativ mai slabă decât imaginea: 0,503 ± 0,046, diferență −0,033 [−0,067; −0,002], mai slabă la toate cele 5 seed-uri. Prin urmare, ipoteza că ascunderea răspunsurilor în antrenare ar fi împiedicat folosirea chestionarului nu se confirmă: fără ea rezultatul este chiar mai slab.</w:t>
      </w:r>
    </w:p>
    <w:p>
      <w:pPr>
        <w:ind w:firstLine="709"/>
        <w:jc w:val="both"/>
      </w:pPr>
      <w:r>
        <w:t>Testul cu chestionarul ascuns confirmă imaginea de ansamblu: cu toate răspunsurile ascunse, macro-F1 rămâne practic același pentru concatenare (0,506), poartă (0,521) și FiLM (0,518). Doar FiLM pierde ceva (0,544 → 0,518), deci este singura variantă care folosește puțin chestionarul. La ansamblu, ponderea aleasă pe validare a dat chestionarului un rol la trei seed-uri, dar câștigul observat pe validare nu s-a regăsit pe test, ceea ce arată că avantajul de pe validare era zgomot. Concluzia pentru RQ1 în această configurație este că pe SCIN, cu chestionarul codificat astfel, răspunsurile nu aduc informație măsurabilă în plus față de fotografie pentru cele patru categorii, deși singure au semnal clar (0,390 față de nivelul întâmplării). O explicație posibilă este că o parte din informația chestionarului (de exemplu zona corpului sau aspectul leziunii) este deja vizibilă în fotografie. Rezultatul este limitat de dimensiunea setului (circa 1.270 de cazuri de antrenare, 270 de test pe seed) și de cele cinci seed-uri, care pot detecta doar diferențe de ordinul a 0,03–0,04 macro-F1.</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p>
      <w:pPr>
        <w:spacing w:after="120" w:line="276" w:lineRule="auto"/>
        <w:ind w:left="567" w:hanging="567"/>
        <w:jc w:val="left"/>
      </w:pPr>
      <w:r>
        <w:t>[14] C. Guo, G. Pleiss, Y. Sun, K. Q. Weinberger, On Calibration of Modern Neural Networks, ICML 2017. https://arxiv.org/abs/1706.04599</w:t>
      </w:r>
    </w:p>
    <w:p>
      <w:pPr>
        <w:spacing w:after="120" w:line="276" w:lineRule="auto"/>
        <w:ind w:left="567" w:hanging="567"/>
        <w:jc w:val="left"/>
      </w:pPr>
      <w:r>
        <w:t>[15] Y. Geifman, R. El-Yaniv, Selective Classification for Deep Neural Networks, NeurIPS 2017. https://arxiv.org/abs/1705.08500</w:t>
      </w:r>
    </w:p>
    <w:p>
      <w:pPr>
        <w:spacing w:after="120" w:line="276" w:lineRule="auto"/>
        <w:ind w:left="567" w:hanging="567"/>
        <w:jc w:val="left"/>
      </w:pPr>
      <w:r>
        <w:t>[16] S. Sagawa, P. W. Koh, T. B. Hashimoto, P. Liang, Distributionally Robust Neural Networks for Group Shifts, ICLR 2020. https://arxiv.org/abs/1911.08731</w:t>
      </w:r>
    </w:p>
    <w:p>
      <w:pPr>
        <w:spacing w:after="120" w:line="276" w:lineRule="auto"/>
        <w:ind w:left="567" w:hanging="567"/>
        <w:jc w:val="left"/>
      </w:pPr>
      <w:r>
        <w:t>[17] M. Buda, A. Maki, M. A. Mazurowski, A systematic study of the class imbalance problem in convolutional neural networks, Neural Networks 106, 2018. https://arxiv.org/abs/1710.05381</w:t>
      </w:r>
    </w:p>
    <w:p>
      <w:pPr>
        <w:spacing w:after="120" w:line="276" w:lineRule="auto"/>
        <w:ind w:left="567" w:hanging="567"/>
        <w:jc w:val="left"/>
      </w:pPr>
      <w:r>
        <w:t>[18] PyTorch documentation, torch.utils.data.WeightedRandomSampler. https://docs.pytorch.org/docs/stable/data.html#torch.utils.data.WeightedRandomSampler</w:t>
      </w:r>
    </w:p>
    <w:p>
      <w:pPr>
        <w:spacing w:after="120" w:line="276" w:lineRule="auto"/>
        <w:ind w:left="567" w:hanging="567"/>
        <w:jc w:val="left"/>
      </w:pPr>
      <w:r>
        <w:t>[19] R. Daneshjou et al., Disparities in dermatology AI performance on a diverse, curated clinical image set, Science Advances 8(32), 2022. https://doi.org/10.1126/sciadv.abq6147</w:t>
      </w:r>
    </w:p>
    <w:p>
      <w:pPr>
        <w:spacing w:after="120" w:line="276" w:lineRule="auto"/>
        <w:ind w:left="567" w:hanging="567"/>
        <w:jc w:val="left"/>
      </w:pPr>
      <w:r>
        <w:t>[20] M. Groh et al., Evaluating Deep Neural Networks Trained on Clinical Images in Dermatology with the Fitzpatrick 17k Dataset, CVPR Workshops 2021. https://arxiv.org/abs/2104.09957</w:t>
      </w:r>
    </w:p>
    <w:p>
      <w:pPr>
        <w:spacing w:after="120" w:line="276" w:lineRule="auto"/>
        <w:ind w:left="567" w:hanging="567"/>
        <w:jc w:val="left"/>
      </w:pPr>
      <w:r>
        <w:t>[21] G. Alain, Y. Bengio, Understanding intermediate layers using linear classifier probes, arXiv 2016. https://arxiv.org/abs/1610.01644</w:t>
      </w:r>
    </w:p>
    <w:p>
      <w:pPr>
        <w:spacing w:after="120" w:line="276" w:lineRule="auto"/>
        <w:ind w:left="567" w:hanging="567"/>
        <w:jc w:val="left"/>
      </w:pPr>
      <w:r>
        <w:t>[22] A. Radford et al., Learning Transferable Visual Models From Natural Language Supervision, ICML 2021. https://arxiv.org/abs/2103.00020</w:t>
      </w:r>
    </w:p>
    <w:p>
      <w:pPr>
        <w:spacing w:after="120" w:line="276" w:lineRule="auto"/>
        <w:ind w:left="567" w:hanging="567"/>
        <w:jc w:val="left"/>
      </w:pPr>
      <w:r>
        <w:t>[23] S. Yan et al., A multimodal vision foundation model for clinical dermatology (PanDerm), Nature Medicine 2025. https://www.nature.com/articles/s41591-025-03747-y</w:t>
      </w:r>
    </w:p>
    <w:p>
      <w:pPr>
        <w:spacing w:after="120" w:line="276" w:lineRule="auto"/>
        <w:ind w:left="567" w:hanging="567"/>
        <w:jc w:val="left"/>
      </w:pPr>
      <w:r>
        <w:t>[24] S. Yan et al., Derm1M: A Million-scale Vision-Language Dataset Aligned with Clinical Ontology Knowledge for Dermatology (DermLIP), ICCV 2025. https://arxiv.org/abs/2503.14911</w:t>
      </w:r>
    </w:p>
    <w:p>
      <w:pPr>
        <w:spacing w:after="120" w:line="276" w:lineRule="auto"/>
        <w:ind w:left="567" w:hanging="567"/>
        <w:jc w:val="left"/>
      </w:pPr>
      <w:r>
        <w:t>[25] I. Goodfellow, Y. Bengio, A. Courville, Deep Learning, MIT Press 2016, chapter 6 (deep feedforward networks). https://www.deeplearningbook.org/</w:t>
      </w:r>
    </w:p>
    <w:p>
      <w:pPr>
        <w:spacing w:after="120" w:line="276" w:lineRule="auto"/>
        <w:ind w:left="567" w:hanging="567"/>
        <w:jc w:val="left"/>
      </w:pPr>
      <w:r>
        <w:t>[26] J. Arevalo, T. Solorio, M. Montes-y-Gómez, F. A. González, Gated Multimodal Units for Information Fusion, ICLR Workshop 2017. https://arxiv.org/abs/1702.01992</w:t>
      </w:r>
    </w:p>
    <w:p>
      <w:pPr>
        <w:spacing w:after="120" w:line="276" w:lineRule="auto"/>
        <w:ind w:left="567" w:hanging="567"/>
        <w:jc w:val="left"/>
      </w:pPr>
      <w:r>
        <w:t>[27] E. Perez, F. Strub, H. de Vries, V. Dumoulin, A. Courville, FiLM: Visual Reasoning with a General Conditioning Layer, AAAI 2018. https://arxiv.org/abs/1709.07871</w:t>
      </w:r>
    </w:p>
    <w:p>
      <w:pPr>
        <w:spacing w:after="120" w:line="276" w:lineRule="auto"/>
        <w:ind w:left="567" w:hanging="567"/>
        <w:jc w:val="left"/>
      </w:pPr>
      <w:r>
        <w:t>[28] Student (W. S. Gosset), The Probable Error of a Mean, Biometrika 6(1), 1908. https://doi.org/10.1093/biomet/6.1.1</w:t>
      </w:r>
    </w:p>
    <w:p>
      <w:pPr>
        <w:spacing w:after="120" w:line="276" w:lineRule="auto"/>
        <w:ind w:left="567" w:hanging="567"/>
        <w:jc w:val="left"/>
      </w:pPr>
      <w:r>
        <w:t>[29] R. Roelofs, N. Cain, J. Shlens, M. C. Mozer, Mitigating Bias in Calibration Error Estimation, AISTATS 2022. https://arxiv.org/abs/2012.08668</w:t>
      </w:r>
    </w:p>
    <w:p>
      <w:pPr>
        <w:spacing w:after="120" w:line="276" w:lineRule="auto"/>
        <w:ind w:left="567" w:hanging="567"/>
        <w:jc w:val="left"/>
      </w:pPr>
      <w:r>
        <w:t>[30] C. Genest, J. V. Zidek, Combining Probability Distributions: A Critique and an Annotated Bibliography, Statistical Science 1(1), 1986. https://doi.org/10.1214/ss/1177013825</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