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Questionnaire-Augmented Skin-Concern Classification under Missing Answers: A Skin-Tone-Stratified Study</w:t>
      </w:r>
    </w:p>
    <w:p>
      <w:pPr>
        <w:jc w:val="center"/>
      </w:pPr>
      <w:r>
        <w:rPr>
          <w:i/>
        </w:rPr>
        <w:t>Daria Giotina. Draft: Introduction</w:t>
      </w:r>
    </w:p>
    <w:p>
      <w:pPr>
        <w:pStyle w:val="Heading2"/>
      </w:pPr>
      <w:r>
        <w:t>1. Introduction</w:t>
      </w:r>
    </w:p>
    <w:p>
      <w:pPr>
        <w:ind w:firstLine="709"/>
        <w:jc w:val="both"/>
      </w:pPr>
      <w:r>
        <w:t>Smartphone applications are increasingly used to obtain personalized information about common skin concerns such as acne, dryness, redness, and hyperpigmentation [CITE]. Access to in-person dermatological expertise is often constrained by cost, geography, and waiting times [CITE], which motivates informational tools that help users understand their skin and choose appropriate care routines. We emphasize that the system studied here is an informational aid and not a medical device; it is not intended to replace professional advice.</w:t>
      </w:r>
    </w:p>
    <w:p>
      <w:pPr>
        <w:ind w:firstLine="709"/>
        <w:jc w:val="both"/>
      </w:pPr>
      <w:r>
        <w:t>Deep convolutional networks, particularly those fine-tuned from pretrained backbones through transfer learning, have achieved strong results on dermatological image classification [CITE]. Most of this work relies on the photograph alone. Yet information that users can readily provide, such as how long a concern has been present, whether it itches, or which products they use, carries signal that an image cannot capture [CITE]. Multimodal approaches that fuse such self-reported data with image features are therefore attractive, but their value specifically for common skin concerns, and relative to a strong image-only baseline, has not been established [CITE].</w:t>
      </w:r>
    </w:p>
    <w:p>
      <w:pPr>
        <w:ind w:firstLine="709"/>
        <w:jc w:val="both"/>
      </w:pPr>
      <w:r>
        <w:t>A practical obstacle complicates this picture. In real deployments, users frequently skip questions or abandon a questionnaire entirely, so the questionnaire modality is partially or wholly missing at inference time [CITE]. A model trained only on complete inputs may degrade sharply or behave unpredictably under such conditions. Modality dropout, which randomly masks input modalities during training, is one proposed way to encourage robustness to missing inputs [CITE], but its effect in this setting has not been characterized across levels of missingness.</w:t>
      </w:r>
    </w:p>
    <w:p>
      <w:pPr>
        <w:ind w:firstLine="709"/>
        <w:jc w:val="both"/>
      </w:pPr>
      <w:r>
        <w:t>A further concern is fairness. Dermatology datasets are known to underrepresent darker skin tones [CITE], and models trained on them can perform unevenly across groups [CITE]. An improvement in average performance may therefore conceal a loss for specific skin tones, so aggregate metrics are insufficient. Evaluation must be stratified by skin tone using the Fitzpatrick and Monk scales [CITE].</w:t>
      </w:r>
    </w:p>
    <w:p>
      <w:pPr>
        <w:ind w:firstLine="709"/>
        <w:jc w:val="both"/>
      </w:pPr>
      <w:r>
        <w:t>This paper addresses these gaps through three research questions:</w:t>
      </w:r>
    </w:p>
    <w:p>
      <w:pPr>
        <w:pStyle w:val="ListBullet"/>
        <w:jc w:val="both"/>
      </w:pPr>
      <w:r>
        <w:t>RQ1: Does adding self-reported questionnaire data to a photo-based classifier improve classification of common skin concerns compared with the photo alone?</w:t>
      </w:r>
    </w:p>
    <w:p>
      <w:pPr>
        <w:pStyle w:val="ListBullet"/>
        <w:jc w:val="both"/>
      </w:pPr>
      <w:r>
        <w:t>RQ2: How does performance change when some or all questionnaire answers are missing, as simulated through modality dropout?</w:t>
      </w:r>
    </w:p>
    <w:p>
      <w:pPr>
        <w:pStyle w:val="ListBullet"/>
        <w:jc w:val="both"/>
      </w:pPr>
      <w:r>
        <w:t>RQ3: Is the benefit or loss from the questionnaire consistent across skin tones?</w:t>
      </w:r>
    </w:p>
    <w:p>
      <w:pPr>
        <w:ind w:firstLine="709"/>
        <w:jc w:val="both"/>
      </w:pPr>
      <w:r>
        <w:t>To answer them, we combine a transfer-learned image encoder with a late-fusion questionnaire branch trained with modality dropout. We evaluate it on SCIN [CITE], with DDI [CITE] and Fitzpatrick17k [CITE] as additional sources, and report results stratified by skin tone. We also use Grad-CAM [CITE] to inspect which image regions drive predictions. [Contributions to be finalized once results are available.]</w:t>
      </w:r>
    </w:p>
    <w:p>
      <w:pPr>
        <w:pStyle w:val="Heading1"/>
      </w:pPr>
      <w:r>
        <w:t>3. Data (draft)</w:t>
      </w:r>
    </w:p>
    <w:p>
      <w:pPr>
        <w:pStyle w:val="Heading2"/>
      </w:pPr>
      <w:r>
        <w:t>3.1 SCIN dataset and audit</w:t>
      </w:r>
    </w:p>
    <w:p>
      <w:pPr>
        <w:ind w:firstLine="709"/>
        <w:jc w:val="both"/>
      </w:pPr>
      <w:r>
        <w:t>We use SCIN (Skin Condition Image Network) release 1.0.0 [1] (https://github.com/google-research-datasets/scin), a crowdsourced dataset of smartphone photographs contributed by US users together with self-reported symptoms, texture, duration and demographics. Case-level metadata are distributed as scin_cases.csv and scin_labels.csv, joined on case_id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ind w:firstLine="709"/>
        <w:jc w:val="both"/>
      </w:pPr>
      <w:r>
        <w:t>We audited the metadata with a reproducible script (ml/scripts/audit_scin.py) before any modelling. The dataset contains 5,033 unique cases and 10,407 images (mean 2.07 per case; 38.7% of cases have one image, 15.8% two and 45.5% three); every case_id appears exactly once in both files. Multi-select questions are encoded as one YES/blank column per option, so a blank cell means an unticked option rather than a missing value; we therefore measure missingness per question. Uninformative answers (e.g. AGE_UNKNOWN, OTHER_OR_UNSPECIFIED) are counted separately from absent values.</w:t>
      </w:r>
    </w:p>
    <w:p>
      <w:pPr>
        <w:ind w:firstLine="709"/>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r>
        <w:rPr>
          <w:i/>
        </w:rPr>
        <w:t>Table 1. Estimated skin-tone distribution in SCIN (N = 5,033 cases).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Group</w:t>
            </w:r>
          </w:p>
        </w:tc>
        <w:tc>
          <w:tcPr>
            <w:tcW w:type="dxa" w:w="3135"/>
          </w:tcPr>
          <w:p>
            <w:r>
              <w:rPr>
                <w:b/>
              </w:rPr>
              <w:t>Cases</w:t>
            </w:r>
          </w:p>
        </w:tc>
        <w:tc>
          <w:tcPr>
            <w:tcW w:type="dxa" w:w="3135"/>
          </w:tcPr>
          <w:p>
            <w:r>
              <w:rPr>
                <w:b/>
              </w:rPr>
              <w: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missing</w:t>
            </w:r>
          </w:p>
        </w:tc>
        <w:tc>
          <w:tcPr>
            <w:tcW w:type="dxa" w:w="3135"/>
          </w:tcPr>
          <w:p>
            <w:r>
              <w:t>663</w:t>
            </w:r>
          </w:p>
        </w:tc>
        <w:tc>
          <w:tcPr>
            <w:tcW w:type="dxa" w:w="3135"/>
          </w:tcPr>
          <w:p>
            <w:r>
              <w:t>13.2</w:t>
            </w:r>
          </w:p>
        </w:tc>
      </w:tr>
      <w:tr>
        <w:tc>
          <w:tcPr>
            <w:tcW w:type="dxa" w:w="3135"/>
          </w:tcPr>
          <w:p>
            <w:r>
              <w:t>eMST 1–3 (US annotators)</w:t>
            </w:r>
          </w:p>
        </w:tc>
        <w:tc>
          <w:tcPr>
            <w:tcW w:type="dxa" w:w="3135"/>
          </w:tcPr>
          <w:p>
            <w:r>
              <w:t>3,502</w:t>
            </w:r>
          </w:p>
        </w:tc>
        <w:tc>
          <w:tcPr>
            <w:tcW w:type="dxa" w:w="3135"/>
          </w:tcPr>
          <w:p>
            <w:r>
              <w:t>69.6</w:t>
            </w:r>
          </w:p>
        </w:tc>
      </w:tr>
      <w:tr>
        <w:tc>
          <w:tcPr>
            <w:tcW w:type="dxa" w:w="3135"/>
          </w:tcPr>
          <w:p>
            <w:r>
              <w:t>eMST 4–6 (US annotators)</w:t>
            </w:r>
          </w:p>
        </w:tc>
        <w:tc>
          <w:tcPr>
            <w:tcW w:type="dxa" w:w="3135"/>
          </w:tcPr>
          <w:p>
            <w:r>
              <w:t>1,296</w:t>
            </w:r>
          </w:p>
        </w:tc>
        <w:tc>
          <w:tcPr>
            <w:tcW w:type="dxa" w:w="3135"/>
          </w:tcPr>
          <w:p>
            <w:r>
              <w:t>25.8</w:t>
            </w:r>
          </w:p>
        </w:tc>
      </w:tr>
      <w:tr>
        <w:tc>
          <w:tcPr>
            <w:tcW w:type="dxa" w:w="3135"/>
          </w:tcPr>
          <w:p>
            <w:r>
              <w:t>eMST 7–10 (US annotators)</w:t>
            </w:r>
          </w:p>
        </w:tc>
        <w:tc>
          <w:tcPr>
            <w:tcW w:type="dxa" w:w="3135"/>
          </w:tcPr>
          <w:p>
            <w:r>
              <w:t>207</w:t>
            </w:r>
          </w:p>
        </w:tc>
        <w:tc>
          <w:tcPr>
            <w:tcW w:type="dxa" w:w="3135"/>
          </w:tcPr>
          <w:p>
            <w:r>
              <w:t>4.1</w:t>
            </w:r>
          </w:p>
        </w:tc>
      </w:tr>
    </w:tbl>
    <w:p>
      <w:pPr>
        <w:ind w:firstLine="709"/>
        <w:jc w:val="both"/>
      </w:pPr>
      <w:r>
        <w:t>We define eFST as the median of up to three dermatologist Fitzpatrick labels per case, rounded half up; 73.7% of cases have a single label and 13.2% have none. Darker tones are under-represented (Table 1):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ind w:firstLine="709"/>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will constrain the final class set. All splits are made at the case level so that images of one case never cross splits.</w:t>
      </w:r>
    </w:p>
    <w:p>
      <w:pPr>
        <w:pStyle w:val="Heading2"/>
      </w:pPr>
      <w:r>
        <w:t>3.2 Target skin-concern categories</w:t>
      </w:r>
    </w:p>
    <w:p>
      <w:pPr>
        <w:ind w:firstLine="709"/>
        <w:jc w:val="both"/>
      </w:pPr>
      <w:r>
        <w:t>SCIN condition strings number over 370 distinct dermatologist differentials, most of them rare, so we group them into five target categories: acne, eczema_dermatitis, redness_rosacea, normal_other and excluded (ml/labels/label_map.yaml, built by ml/labels/build_labels.py). For each case_id, the weights of strings mapped to the same category are summed; the category with the largest sum becomes the primary label if the sum reaches a configurable threshold (0.40). Ties, sub-threshold cases and unmapped strings are labelled excluded. These are coarse skin-concern groupings, not clinical classes.</w:t>
      </w:r>
    </w:p>
    <w:p>
      <w:pPr>
        <w:ind w:firstLine="709"/>
        <w:jc w:val="both"/>
      </w:pPr>
      <w:r>
        <w:t>Of 5,033 cases, 144 are acne, 1,068 eczema_dermatitis, 44 redness_rosacea, 553 normal_other and 3,224 excluded (1,972 of which have no weighted label). Only 10 acne and 1 redness_rosacea cases fall in eFST V–VI (Table 2), so per-tone estimates for these categories will have very wide confidence intervals. The string-to-category mapping is an author decision (e.g. folliculitis is grouped with acne) and is a limitation.</w:t>
      </w:r>
    </w:p>
    <w:p>
      <w:r>
        <w:rPr>
          <w:i/>
        </w:rPr>
        <w:t>Table 2. Target categories by eFST group (SCIN, threshold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Category</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missing</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3.3 Skin-tone scales and groups</w:t>
      </w:r>
    </w:p>
    <w:p>
      <w:pPr>
        <w:ind w:firstLine="709"/>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w:t>
      </w:r>
    </w:p>
    <w:p>
      <w:pPr>
        <w:ind w:firstLine="709"/>
        <w:jc w:val="both"/>
      </w:pPr>
      <w:r>
        <w:t>Because single types are sparse (type VI has only 68 cases), we pair them: I–II (lightest skin, 1,773 cases), III–IV (medium skin, 2,161 cases) and V–VI (darkest skin, 436 cases). The 663 cases with no FST label form a separate missing group.</w:t>
      </w:r>
    </w:p>
    <w:p>
      <w:pPr>
        <w:ind w:firstLine="709"/>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3.4 Questionnaire encoding and missingness mask</w:t>
      </w:r>
    </w:p>
    <w:p>
      <w:pPr>
        <w:ind w:firstLine="709"/>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ind w:firstLine="709"/>
        <w:jc w:val="both"/>
      </w:pPr>
      <w:r>
        <w:t>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case_id.</w:t>
      </w:r>
    </w:p>
    <w:p>
      <w:pPr>
        <w:ind w:firstLine="709"/>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3.5 Case-level train/validation/test splits</w:t>
      </w:r>
    </w:p>
    <w:p>
      <w:pPr>
        <w:ind w:firstLine="709"/>
        <w:jc w:val="both"/>
      </w:pPr>
      <w:r>
        <w:t>We split the data into train (70%, where the model learns), validation (15%, for choosing settings) and test (15%, used only for final evaluation). The split is made at the case level (case_id), not the image level: all photographs of a case stay in one split. Otherwise data leakage occurs: the model would see one photo of a case during training and be tested on another photo of the same case, inflating the results. The script (ml/splits/make_splits.py) works on one row per case_id, so a case cannot be divided between splits.</w:t>
      </w:r>
    </w:p>
    <w:p>
      <w:pPr>
        <w:ind w:firstLine="709"/>
        <w:jc w:val="both"/>
      </w:pPr>
      <w:r>
        <w:t>The split is stratified, meaning each split keeps roughly the same proportions of a combined variable: target category (primary_label)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ind w:firstLine="709"/>
        <w:jc w:val="both"/>
      </w:pPr>
      <w:r>
        <w:t>Each seed yields 3,523 train, 755 validation and 755 test cases. In eFST V-VI the cases split 305, 66 and 65. The redness_rosacea category has 44 cases in total (31, 7 and 6 for seed 0) and only one case in V-VI, in the training split, so its per-tone performance cannot be evaluated. An automated test (ml/tests/test_no_leakage.py) checks for every seed that no case_id appears in two splits, that there are no duplicates and that the splits cover every case.</w:t>
      </w:r>
    </w:p>
    <w:p>
      <w:pPr>
        <w:pStyle w:val="Heading1"/>
      </w:pPr>
      <w:r>
        <w:t>References</w:t>
      </w:r>
    </w:p>
    <w:p>
      <w:pPr>
        <w:ind w:firstLine="0"/>
      </w:pPr>
      <w:r>
        <w:t>[1] Google Research, SCIN: Skin Condition Image Network, GitHub repository. https://github.com/google-research-datasets/scin</w:t>
      </w:r>
    </w:p>
    <w:p>
      <w:pPr>
        <w:ind w:firstLine="0"/>
      </w:pPr>
      <w:r>
        <w:t>[2] Google Research, SCIN Data Use License. https://github.com/google-research-datasets/scin/blob/main/LICENSE</w:t>
      </w:r>
    </w:p>
    <w:p>
      <w:pPr>
        <w:ind w:firstLine="0"/>
      </w:pPr>
      <w:r>
        <w:t>[3] Google Research, SCIN dataset schema documentation. https://github.com/google-research-datasets/scin/blob/main/dataset_schema.md</w:t>
      </w:r>
    </w:p>
    <w:p>
      <w:pPr>
        <w:ind w:firstLine="0"/>
      </w:pPr>
      <w:r>
        <w:t>[4] T. B. Fitzpatrick, The validity and practicality of sun-reactive skin types I through VI, Archives of Dermatology 124(6), 1988, 869–871. https://doi.org/10.1001/archderm.1988.01670060015008</w:t>
      </w:r>
    </w:p>
    <w:p>
      <w:pPr>
        <w:ind w:firstLine="0"/>
      </w:pPr>
      <w:r>
        <w:t>[5]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