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2"/>
      </w:pPr>
      <w:r>
        <w:t>4.1 Modelul conceptual al datelor: diagrama Entitate-Legătură extinsă (EER)</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2"/>
      </w:pPr>
      <w:r>
        <w:t>Anexa A. Planificarea proiectului: enunțul domeniului și WBS</w:t>
        <w:tab/>
        <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ind w:firstLine="709"/>
        <w:jc w:val="both"/>
      </w:pPr>
      <w:r>
        <w:t>Acest capitol descrie proiectarea aplicației: modelul conceptual al datelor, arhitectura componentelor (aplicația mobilă, API-ul, serviciul de inferență și stocarea) și interfața de programare (API). Secțiunea 4.1 prezintă modelul conceptual al datelor și transformarea lui într-o schemă relațională; arhitectura, modelul fizic în MongoDB și proiectarea API-ului vor fi descrise în secțiunile următoare.</w:t>
      </w:r>
    </w:p>
    <w:p>
      <w:pPr>
        <w:pStyle w:val="Heading2"/>
      </w:pPr>
      <w:r>
        <w:t>4.1 Modelul conceptual al datelor: diagrama Entitate-Legătură extinsă (EER)</w:t>
      </w:r>
    </w:p>
    <w:p>
      <w:pPr>
        <w:ind w:firstLine="709"/>
        <w:jc w:val="both"/>
      </w:pPr>
      <w:r>
        <w:t xml:space="preserve">Modelul Entitate-Legătură (Entity-Relationship, ER), propus de Chen [39], descrie datele unei aplicații independent de sistemul de gestiune a bazei de date care le va stoca. Elementele lui sunt: entitatea, adică o categorie de obiecte despre care se rețin date (de exemplu USER; o instanță a entității este un utilizator concret), desenată ca dreptunghi; atributul, o proprietate a entității (de exemplu email), desenat ca elipsă; cheia, atributul ale cărui valori identifică în mod unic fiecare instanță (de exemplu user_id), scrisă subliniat; și legătura (relationship), o asociere între entități (de exemplu PERFORMS: un utilizator efectuează analize), desenată ca romb. Modelul Entitate-Legătură extins (Enhanced ER, EER) adaugă concepte de tip clasă-subclasă, în special specializarea și generalizarea, cu moștenirea atributelor [40]. Diagrama a fost realizată în draw.io [41], în notația Chen, cu denumirile în limba engleză pentru a fi identice cu cele din cod. Sursa editabilă este </w:t>
      </w:r>
      <w:r>
        <w:rPr>
          <w:rFonts w:ascii="Courier New" w:hAnsi="Courier New" w:eastAsia="Courier New" w:cs="Courier New"/>
          <w:sz w:val="21"/>
        </w:rPr>
        <w:t>docs/diagrams/skincare_eer.drawio</w:t>
      </w:r>
      <w:r>
        <w:t xml:space="preserve"> (pagina „EER model” pentru Figura 4.1 și pagina „Relational schema” pentru Figura 4.2), iar imaginile exportate se află în același director. Fișierul este generat de scriptul </w:t>
      </w:r>
      <w:r>
        <w:rPr>
          <w:rFonts w:ascii="Courier New" w:hAnsi="Courier New" w:eastAsia="Courier New" w:cs="Courier New"/>
          <w:sz w:val="21"/>
        </w:rPr>
        <w:t>docs/tools/build_er_diagram.py</w:t>
      </w:r>
      <w:r>
        <w:t>, astfel încât modificările modelului rămân reproductibile.</w:t>
      </w:r>
    </w:p>
    <w:p>
      <w:pPr>
        <w:ind w:firstLine="709"/>
        <w:jc w:val="both"/>
      </w:pPr>
      <w:r>
        <w:t>Notația folosită are următoarele semnificații. Raportul de cardinalitate indică numărul maxim de instanțe ale unei entități care se pot asocia cu o instanță a celeilalte: 1:1 (unu la unu), 1:N (unu la mai mulți) sau M:N (mai mulți la mai mulți); valorile 1, N și M sunt scrise pe liniile legăturii. Participarea arată dacă fiecare instanță trebuie să ia parte la legătură: linia dublă marchează participarea totală (de exemplu, orice analiză aparține unui utilizator), iar linia simplă participarea parțială (un utilizator poate să nu aibă nicio analiză). O entitate slabă nu are o cheie proprie și este identificată prin entitatea de care aparține (proprietarul) împreună cu o cheie parțială; se desenează cu dreptunghi dublu, iar legătura care o identifică cu romb dublu. În model, ROUTINE_STEP este entitate slabă: pasul 3 are sens doar în interiorul unei rutine anume, deci cheia lui este (routine_id, step_no), unde step_no este cheia parțială (subliniată punctat). Un atribut compus are subatribute (full_name = first_name + last_name; skin_profile = skin_type, main_concern, climate). Un atribut multivalorat poate avea mai multe valori pentru aceeași instanță (variantele de răspuns options ale unei întrebări, funcțiile functions și marcajele de risc flags ale unui ingredient) și se desenează cu elipsă dublă. Un atribut derivat nu se stochează, ci se calculează din alte date (age_range din date_of_birth, total_duration ca sumă a duratelor pașilor unei rutine, safety_score din scorurile ingredientelor unui produs) și se desenează cu elipsă punctată.</w:t>
      </w:r>
    </w:p>
    <w:p>
      <w:pPr>
        <w:ind w:firstLine="0"/>
        <w:jc w:val="center"/>
      </w:pPr>
      <w:r>
        <w:drawing>
          <wp:inline xmlns:a="http://schemas.openxmlformats.org/drawingml/2006/main" xmlns:pic="http://schemas.openxmlformats.org/drawingml/2006/picture">
            <wp:extent cx="5760000" cy="4170065"/>
            <wp:docPr id="1" name="Picture 1"/>
            <wp:cNvGraphicFramePr>
              <a:graphicFrameLocks noChangeAspect="1"/>
            </wp:cNvGraphicFramePr>
            <a:graphic>
              <a:graphicData uri="http://schemas.openxmlformats.org/drawingml/2006/picture">
                <pic:pic>
                  <pic:nvPicPr>
                    <pic:cNvPr id="0" name="eer_model.png"/>
                    <pic:cNvPicPr/>
                  </pic:nvPicPr>
                  <pic:blipFill>
                    <a:blip r:embed="rId15"/>
                    <a:stretch>
                      <a:fillRect/>
                    </a:stretch>
                  </pic:blipFill>
                  <pic:spPr>
                    <a:xfrm>
                      <a:off x="0" y="0"/>
                      <a:ext cx="5760000" cy="4170065"/>
                    </a:xfrm>
                    <a:prstGeom prst="rect"/>
                  </pic:spPr>
                </pic:pic>
              </a:graphicData>
            </a:graphic>
          </wp:inline>
        </w:drawing>
      </w:r>
    </w:p>
    <w:p>
      <w:pPr>
        <w:pStyle w:val="Caption"/>
        <w:jc w:val="center"/>
      </w:pPr>
      <w:r>
        <w:t>Figura 4.1. Diagrama Entitate-Legătură extinsă (EER) a aplicației, în notația Chen; componenta EER este specializarea disjunctă și totală a entității PHOTO.</w:t>
      </w:r>
    </w:p>
    <w:p>
      <w:pPr>
        <w:ind w:firstLine="709"/>
        <w:jc w:val="both"/>
      </w:pPr>
      <w:r>
        <w:t>Entitățile au fost stabilite pornind de la modelul de date din planul tezei (colecțiile users, consents, refresh_tokens, skin_analyses, products, ingredients, routines și daily_logs) și de la ecranele proiectate în Figma (chestionarul de analiză, alegerea zonelor feței, rezultatele, detaliile produsului cu scorul de siguranță, constructorul de rutine, jurnalul zilnic și setările de confidențialitate). Cele 16 entități formează patru grupuri: contul și securitatea (USER, CONSENT pentru consimțămintele GDPR, REFRESH_TOKEN pentru sesiunile de autentificare, REMINDER pentru mementourile de dimineață și seară), analiza pielii (SKIN_ANALYSIS, QUESTION, FACE_ZONE, SKIN_CONCERN), fotografiile (PHOTO cu subclasele ANALYSIS_PHOTO și PROGRESS_PHOTO) și produsele cu rutinele (PRODUCT, INGREDIENT, ROUTINE, ROUTINE_STEP, DAILY_LOG).</w:t>
      </w:r>
    </w:p>
    <w:p>
      <w:pPr>
        <w:ind w:firstLine="709"/>
        <w:jc w:val="both"/>
      </w:pPr>
      <w:r>
        <w:t>Legăturile reflectă direct metodologia din capitolul 5. ANSWERS (M:N între SKIN_ANALYSIS și QUESTION) are atributele answer_value și is_missing: o întrebare la care utilizatorul nu a răspuns este înregistrată explicit ca lipsă, la fel ca masca de valori lipsă a modelului (secțiunea 5.5), în loc să fie completată cu o valoare inventată. PREDICTS (M:N între SKIN_ANALYSIS și SKIN_CONCERN) are atributele probability și rank, deoarece modelul întoarce o probabilitate pentru fiecare categorie din secțiunea 5.4; atributul is_uncertain al analizei marchează cazurile cu încredere scăzută, pentru care aplicația recomandă consultarea unui specialist. ASSESSES (M:N între SKIN_ANALYSIS și FACE_ZONE) reține pentru fiecare zonă a feței constatarea (finding) și gradul ei (severity); harta facială pe mai multe zone este o funcționalitate opțională (stretch), de aceea participarea este parțială, iar legătura poate rămâne goală în MVP fără ca schema să se schimbe. CONTAINS (M:N între PRODUCT și INGREDIENT) păstrează în atributul position ordinea din lista INCI (International Nomenclature of Cosmetic Ingredients, denumirile standard ale ingredientelor cosmetice), care pe etichetă este descrescătoare după concentrație. RECORDS_USE (M:N între DAILY_LOG și PRODUCT) reține perioada (AM sau PM) și momentul folosirii fiecărui produs. BASED_ON leagă opțional o rutină de analiza din care a fost generată, iar USES leagă opțional un pas de rutină de un produs concret din catalog.</w:t>
      </w:r>
    </w:p>
    <w:p>
      <w:pPr>
        <w:ind w:firstLine="709"/>
        <w:jc w:val="both"/>
      </w:pPr>
      <w:r>
        <w:t>Componenta EER a modelului este specializarea entității PHOTO. Specializarea împarte o entitate generală (superclasa) în subclase care moștenesc toate atributele și legăturile superclasei și au, în plus, atribute și legături proprii. Specializarea este disjunctă (cercul marcat cu d): o fotografie aparține unei singure subclase. Este totală (linie dublă între PHOTO și cerc): orice fotografie este fie fotografie de analiză, fie fotografie de progres. Simbolul de submulțime de pe fiecare linie arată sensul moștenirii. Ambele tipuri au aceleași atribute de stocare (photo_id, object_key, content_type, captured_at): fotografia stă criptată în stocarea de obiecte din UE, iar baza de date reține doar cheia obiectului. Diferă însă prin rest: ANALYSIS_PHOTO are shot_type și heatmap_key (harta Grad-CAM, secțiunea 5.9) și aparține unei analize (DEPICTS, o analiză are una sau mai multe fotografii, ca în SCIN), iar PROGRESS_PHOTO are caption și documentează o zi din jurnal (DOCUMENTS, 1:1). Avantajul practic este că dreptul la ștergere din GDPR se poate aplica tuturor fotografiilor unui utilizator printr-o singură entitate.</w:t>
      </w:r>
    </w:p>
    <w:p>
      <w:pPr>
        <w:ind w:firstLine="0"/>
        <w:jc w:val="center"/>
      </w:pPr>
      <w:r>
        <w:drawing>
          <wp:inline xmlns:a="http://schemas.openxmlformats.org/drawingml/2006/main" xmlns:pic="http://schemas.openxmlformats.org/drawingml/2006/picture">
            <wp:extent cx="5760000" cy="2199273"/>
            <wp:docPr id="2" name="Picture 2"/>
            <wp:cNvGraphicFramePr>
              <a:graphicFrameLocks noChangeAspect="1"/>
            </wp:cNvGraphicFramePr>
            <a:graphic>
              <a:graphicData uri="http://schemas.openxmlformats.org/drawingml/2006/picture">
                <pic:pic>
                  <pic:nvPicPr>
                    <pic:cNvPr id="0" name="relational_schema.png"/>
                    <pic:cNvPicPr/>
                  </pic:nvPicPr>
                  <pic:blipFill>
                    <a:blip r:embed="rId16"/>
                    <a:stretch>
                      <a:fillRect/>
                    </a:stretch>
                  </pic:blipFill>
                  <pic:spPr>
                    <a:xfrm>
                      <a:off x="0" y="0"/>
                      <a:ext cx="5760000" cy="2199273"/>
                    </a:xfrm>
                    <a:prstGeom prst="rect"/>
                  </pic:spPr>
                </pic:pic>
              </a:graphicData>
            </a:graphic>
          </wp:inline>
        </w:drawing>
      </w:r>
    </w:p>
    <w:p>
      <w:pPr>
        <w:pStyle w:val="Caption"/>
        <w:jc w:val="center"/>
      </w:pPr>
      <w:r>
        <w:t>Figura 4.2. Schema relațională obținută din modelul EER (24 de tabele, notația crow's foot).</w:t>
      </w:r>
    </w:p>
    <w:p>
      <w:pPr>
        <w:ind w:firstLine="709"/>
        <w:jc w:val="both"/>
      </w:pPr>
      <w:r>
        <w:t>Pentru a verifica modelul, el a fost transformat în modelul relațional (Figura 4.2), după regulile clasice de trecere de la EER la tabele [40]. În modelul relațional datele sunt păstrate în tabele (relații) formate din rânduri și coloane; cheia primară (PK) este coloana sau grupul de coloane care identifică unic fiecare rând, cheia străină (FK) este o coloană care conține cheia primară a unui rând din alt tabel, iar UQ marchează o constrângere de unicitate. Legăturile dintre tabele sunt desenate în notația „crow's foot”: liniuța înseamnă exact unu, cercul înseamnă opțional, iar „piciorul de cioară” (bifurcația) înseamnă mai mulți. Regulile aplicate au fost: fiecare entitate puternică devine un tabel, cu cheia ei drept cheie primară; atributele compuse se descompun în coloane simple; atributele derivate nu se stochează; la o legătură 1:N cheia străină se pune în tabelul de pe partea N (de exemplu SKIN_ANALYSIS.user_id); o legătură M:N devine un tabel de legătură care conține cheile ambelor entități și atributele legăturii (ANSWER, ZONE_ASSESSMENT, PREDICTION, PRODUCT_USE, PRODUCT_INGREDIENT); fiecare atribut multivalorat devine un tabel separat (QUESTION_OPTION, INGREDIENT_FUNCTION, INGREDIENT_FLAG); entitatea slabă ROUTINE_STEP primește cheia compusă (routine_id, step_no); legătura 1:1 DOCUMENTS devine o cheie străină unică (PROGRESS_PHOTO.log_id); iar specializarea lui PHOTO devine câte un tabel pentru superclasă și pentru fiecare subclasă, în care photo_id este simultan cheie primară și cheie străină, iar coloana photo_kind indică subclasa. Rezultatul are 24 de tabele.</w:t>
      </w:r>
    </w:p>
    <w:p>
      <w:pPr>
        <w:ind w:firstLine="709"/>
        <w:jc w:val="both"/>
      </w:pPr>
      <w:r>
        <w:t xml:space="preserve">Modelul conceptual nu depinde de baza de date aleasă. Implementarea folosește MongoDB, o bază de date orientată pe documente, deci schema relațională servește ca verificare a modelului și ca reper, nu ca implementare. În MongoDB, datele citite mereu împreună cu entitatea proprietar sunt incluse (embedded) în documentul acesteia: răspunsurile, predicțiile și evaluările pe zone în documentul analizei, pașii în documentul rutinei, produsele folosite în documentul zilei din jurnal. Entitățile de referință partajate (produse, ingrediente, întrebări, categorii de probleme ale pielii) rămân colecții separate, referite prin identificator. Constrângerile de unicitate devin indexuri unice (email, barcode, inci_name și perechea user_id, log_date). Modelul fizic MongoDB, cu indexurile și regulile de validare, va fi descris în secțiunea următoare. Limitare: entitatea QUESTION urmează deocamdată întrebările SCIN mapate în </w:t>
      </w:r>
      <w:r>
        <w:rPr>
          <w:rFonts w:ascii="Courier New" w:hAnsi="Courier New" w:eastAsia="Courier New" w:cs="Courier New"/>
          <w:sz w:val="21"/>
        </w:rPr>
        <w:t>ml/features/field_mapping.md</w:t>
      </w:r>
      <w:r>
        <w:t>, deoarece chestionarul final din aplicație nu este încă implementat.</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ind w:firstLine="709"/>
        <w:jc w:val="both"/>
      </w:pPr>
      <w:r>
        <w:t xml:space="preserve">Pe lângă regimul fix de mai sus, a fost implementat un al doilea regim de ascundere a răspunsurilor la antrenare, numit în continuare „dropout pe răspunsuri cu rată eșantionată” (fișierul </w:t>
      </w:r>
      <w:r>
        <w:rPr>
          <w:rFonts w:ascii="Courier New" w:hAnsi="Courier New" w:eastAsia="Courier New" w:cs="Courier New"/>
          <w:sz w:val="21"/>
        </w:rPr>
        <w:t>ml/dropout_utils.py</w:t>
      </w:r>
      <w:r>
        <w:t xml:space="preserve">, funcția </w:t>
      </w:r>
      <w:r>
        <w:rPr>
          <w:rFonts w:ascii="Courier New" w:hAnsi="Courier New" w:eastAsia="Courier New" w:cs="Courier New"/>
          <w:sz w:val="21"/>
        </w:rPr>
        <w:t>apply_answer_dropout</w:t>
      </w:r>
      <w:r>
        <w:t xml:space="preserve">, opțiunea </w:t>
      </w:r>
      <w:r>
        <w:rPr>
          <w:rFonts w:ascii="Courier New" w:hAnsi="Courier New" w:eastAsia="Courier New" w:cs="Courier New"/>
          <w:sz w:val="21"/>
        </w:rPr>
        <w:t>--q_dropout random</w:t>
      </w:r>
      <w:r>
        <w:t xml:space="preserve"> din </w:t>
      </w:r>
      <w:r>
        <w:rPr>
          <w:rFonts w:ascii="Courier New" w:hAnsi="Courier New" w:eastAsia="Courier New" w:cs="Courier New"/>
          <w:sz w:val="21"/>
        </w:rPr>
        <w:t>ml/train.py</w:t>
      </w:r>
      <w:r>
        <w:t xml:space="preserve"> și </w:t>
      </w:r>
      <w:r>
        <w:rPr>
          <w:rFonts w:ascii="Courier New" w:hAnsi="Courier New" w:eastAsia="Courier New" w:cs="Courier New"/>
          <w:sz w:val="21"/>
        </w:rPr>
        <w:t>ml/run_fusion.py</w:t>
      </w:r>
      <w:r>
        <w:t xml:space="preserve">). Termenul de dropout desemnează, în general, eliminarea aleatoare a unor unități ale rețelei la antrenare, ca rețeaua să nu depindă de niciuna în parte [35]; dropout-ul pe modalitate aplică aceeași idee unei întregi surse de date (aici, chestionarul) [36]. În noul regim, pentru fiecare lot (batch, grupul de 32 de cazuri procesat într-un pas de antrenare) se extrage o rată p dintr-o distribuție uniformă între 0 și 1 (orice valoare din interval este la fel de probabilă), iar fiecare întrebare a fiecărui caz este ascunsă cu probabilitatea p; independent, întregul chestionar al unui caz este ascuns cu probabilitatea 0,1. Câmpurile ascunse primesc trăsături 0 și bitul de mască 1, exact ca un răspuns lipsă real, deci modelul nu poate distinge o întrebare ascunsă de una la care utilizatorul nu a răspuns. Spre deosebire de regimul fix (30% chestionar întreg, 15% pe întrebare), rata eșantionată pe lot expune modelul la toate nivelurile de completare, de la chestionare complete la chestionare goale. Ponderile se salvează în fișierele </w:t>
      </w:r>
      <w:r>
        <w:rPr>
          <w:rFonts w:ascii="Courier New" w:hAnsi="Courier New" w:eastAsia="Courier New" w:cs="Courier New"/>
          <w:sz w:val="21"/>
        </w:rPr>
        <w:t>fusion_dropout_&lt;variantă&gt;_seed&lt;k&gt;.pt</w:t>
      </w:r>
      <w:r>
        <w:t>. Trei regimuri sunt comparate în experimentul E2: fără ascundere (none), regimul fix (fixed) și rata eșantionată (random).</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primă ipoteză, că informația chestionarului (de exemplu zona corpului sau aspectul leziunii) ar fi deja vizibilă în fotografie, a fost testată în secțiunea 8.5 și nu s-a confirmat. Rezultatul este limitat de dimensiunea setului (circa 1.270 de cazuri de antrenare, 270 de test pe seed) și de cele cinci seed-uri, care pot detecta doar diferențe de ordinul a 0,03–0,04 macro-F1.</w:t>
      </w:r>
    </w:p>
    <w:p>
      <w:pPr>
        <w:pStyle w:val="Heading2"/>
      </w:pPr>
      <w:r>
        <w:t>8.4 Rezultatele finale pe zece seed-uri, pe tonuri de piele și pe categorii</w:t>
      </w:r>
    </w:p>
    <w:p>
      <w:pPr>
        <w:ind w:firstLine="709"/>
        <w:jc w:val="both"/>
      </w:pPr>
      <w:r>
        <w:t xml:space="preserve">Rezultatele din secțiunile 8.2 și 8.3 folosesc primele cinci seed-uri și sunt preliminare. Pentru a strânge intervalele de încredere, s-au creat încă cinci variante de împărțire (seed-urile 5–9; împărțirile 0–4 au rămas identice) și toate brațele au fost reantrenate pe ele. Planul de analiză a fost stabilit înainte de a vedea noile rezultate: aceleași brațe, aceleași metrici, diferențe pereche față de modelul doar cu imagine, iar pe grupuri de ton și pe categorii, valori p corectate Holm [31]. Corecția Holm este necesară deoarece se fac multe teste deodată (6 grupuri de ton și 4 categorii pentru fiecare model): cu 10 teste, cel puțin un rezultat „semnificativ” poate apărea din întâmplare, iar corecția crește pragul astfel încât probabilitatea unei astfel de alarme false în întreaga familie de teste să rămână sub 5%. Testul Wilcoxon [32] compară diferențele pe seed-uri fără să presupună o distribuție normală. Rezultatele complete sunt în </w:t>
      </w:r>
      <w:r>
        <w:rPr>
          <w:rFonts w:ascii="Courier New" w:hAnsi="Courier New" w:eastAsia="Courier New" w:cs="Courier New"/>
          <w:sz w:val="21"/>
        </w:rPr>
        <w:t>ml/results/e1/</w:t>
      </w:r>
      <w:r>
        <w:t xml:space="preserve"> (toate cele zece seed-uri), iar jumătățile </w:t>
      </w:r>
      <w:r>
        <w:rPr>
          <w:rFonts w:ascii="Courier New" w:hAnsi="Courier New" w:eastAsia="Courier New" w:cs="Courier New"/>
          <w:sz w:val="21"/>
        </w:rPr>
        <w:t>seeds0-4</w:t>
      </w:r>
      <w:r>
        <w:t xml:space="preserve"> și </w:t>
      </w:r>
      <w:r>
        <w:rPr>
          <w:rFonts w:ascii="Courier New" w:hAnsi="Courier New" w:eastAsia="Courier New" w:cs="Courier New"/>
          <w:sz w:val="21"/>
        </w:rPr>
        <w:t>seeds5-9</w:t>
      </w:r>
      <w:r>
        <w:t xml:space="preserve"> sunt raportate separat ca verificare de replicare.</w:t>
      </w:r>
    </w:p>
    <w:p>
      <w:pPr>
        <w:ind w:firstLine="709"/>
        <w:jc w:val="both"/>
      </w:pPr>
      <w:r>
        <w:t>Pe zece seed-uri (Tabelul 8.4), modelul doar cu imagine obține macro-F1 0,519 ± 0,040, iar niciuna dintre variantele care folosesc chestionarul nu îl depășește: concatenare −0,005 [IÎ 95% −0,024; +0,014], mai bună la 6 din 10 seed-uri; FiLM +0,000 [−0,023; +0,023], 5/10; concatenare fără dropout −0,014 [−0,035; +0,006]; ansamblu −0,021 [−0,047; +0,003]. Fuziunea cu poartă este chiar mai slabă: −0,030 [−0,053; −0,007], mai bună doar la 2 din 10 seed-uri (Wilcoxon p = 0,037). Avantajul mic al variantei FiLM pe primele cinci seed-uri (+0,008) a dispărut, ceea ce arată de ce cinci seed-uri nu sunt suficiente. Intervalele mai înguste permit o concluzie mai fermă: cu 95% încredere, un eventual câștig adus de chestionar în această configurație este mai mic de aproximativ 0,02 macro-F1 (limita superioară a intervalului pentru FiLM este +0,023, pentru concatenare +0,014).</w:t>
      </w:r>
    </w:p>
    <w:p>
      <w:pPr>
        <w:ind w:firstLine="709"/>
        <w:jc w:val="both"/>
      </w:pPr>
      <w:r>
        <w:t>Tabelul 8.4. Toate brațele E1 pe zece seed-uri (EfficientNet-B0, pierdere ponderată; medie ± abatere standard; diferențe pereche pe aceleași cazuri, interval bootstrap stratificat pe seed).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seed-uri)</w:t>
            </w:r>
          </w:p>
        </w:tc>
        <w:tc>
          <w:tcPr>
            <w:tcW w:type="dxa" w:w="1814"/>
          </w:tcPr>
          <w:p>
            <w:r>
              <w:rPr>
                <w:b/>
              </w:rPr>
              <w:t>Diferență față de imagine [IÎ 95%]</w:t>
            </w:r>
          </w:p>
        </w:tc>
        <w:tc>
          <w:tcPr>
            <w:tcW w:type="dxa" w:w="1814"/>
          </w:tcPr>
          <w:p>
            <w:r>
              <w:rPr>
                <w:b/>
              </w:rPr>
              <w:t>Seed-uri mai bune</w:t>
            </w:r>
          </w:p>
        </w:tc>
        <w:tc>
          <w:tcPr>
            <w:tcW w:type="dxa" w:w="1814"/>
          </w:tcPr>
          <w:p>
            <w:r>
              <w:rPr>
                <w:b/>
              </w:rPr>
              <w:t>Macro-F1, răspunsuri ascunse</w:t>
            </w:r>
          </w:p>
        </w:tc>
      </w:tr>
      <w:tr>
        <w:tc>
          <w:tcPr>
            <w:tcW w:type="dxa" w:w="1814"/>
          </w:tcPr>
          <w:p>
            <w:r>
              <w:t>Doar imagine</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Doar chestionar</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Fuziune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Fuziune cu poartă</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Fuziune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fără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Ansamblu imagine × chestionar</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ind w:firstLine="709"/>
        <w:jc w:val="both"/>
      </w:pPr>
      <w:r>
        <w:t>Analiza pe grupuri arată același lucru și pentru întrebarea „pentru cine?”. Niciuna dintre variantele de fuziune nu îmbunătățește semnificativ vreun grup de ton (eFST I–II, III–IV, V–VI; eMST 1–3, 4–6, 7–10) sau vreo categorie după corecția Holm; singurul efect semnificativ al fuziunii este negativ: varianta cu poartă scade macro-F1 pe eFST III–IV cu 0,073 (p Holm = 0,028). Pe primele cinci seed-uri, FiLM părea mai bună pe grupul eMST 4–6 (+0,088, la toate cele 5 seed-uri); acest indiciu a fost notat înainte de rularea seed-urilor 5–9 și nu s-a replicat (−0,013, mai bună la un singur seed din cinci), deci era zgomot. Modelul doar cu imagine are cel mai slab rezultat pe eMST 4–6 (0,457 ± 0,069, circa 72 de cazuri pe seed) și pe eFST V–VI (0,496 ± 0,140, circa 23 de cazuri), iar pe categorii acneea rămâne cea mai dificilă (F1 0,320 ± 0,064). Un detaliu util pentru discuție: diferența dintre chestionar și imagine este cea mai mică tocmai pe grupurile mai închise la culoare (eFST V–VI −0,070, eMST 4–6 −0,050, ambele nesemnificative, față de −0,12 ... −0,20 pe celelalte grupuri), ceea ce sugerează că fotografia pierde din avantaj pe pielea mai închisă, dar modelele cu fuziune nu reușesc să compenseze cu chestionarul. Grupurile mici (eMST 7–10 are 11 cazuri pe seed, redness_rosacea 6) au intervale foarte largi și nu permit concluzii.</w:t>
      </w:r>
    </w:p>
    <w:p>
      <w:pPr>
        <w:pStyle w:val="Heading2"/>
      </w:pPr>
      <w:r>
        <w:t>8.5 De ce nu ajută chestionarul?</w:t>
      </w:r>
    </w:p>
    <w:p>
      <w:pPr>
        <w:ind w:firstLine="709"/>
        <w:jc w:val="both"/>
      </w:pPr>
      <w:r>
        <w:t xml:space="preserve">Rezultatul este surprinzător, deoarece în SCIN dermatologii au văzut atât fotografiile, cât și răspunsurile la chestionar atunci când au stabilit etichetele, iar încrederea lor a crescut cu numărul de răspunsuri disponibile [33]. Pentru a înțelege de ce modelele nu profită de chestionar, scriptul </w:t>
      </w:r>
      <w:r>
        <w:rPr>
          <w:rFonts w:ascii="Courier New" w:hAnsi="Courier New" w:eastAsia="Courier New" w:cs="Courier New"/>
          <w:sz w:val="21"/>
        </w:rPr>
        <w:t>ml/analysis/questionnaire_diagnostics.py</w:t>
      </w:r>
      <w:r>
        <w:t xml:space="preserve"> face trei verificări pe modelele deja antrenate (zece seed-uri, fără reantrenare); rezultatele sunt în </w:t>
      </w:r>
      <w:r>
        <w:rPr>
          <w:rFonts w:ascii="Courier New" w:hAnsi="Courier New" w:eastAsia="Courier New" w:cs="Courier New"/>
          <w:sz w:val="21"/>
        </w:rPr>
        <w:t>ml/results/e1/diagnostics/</w:t>
      </w:r>
      <w:r>
        <w:t>.</w:t>
      </w:r>
    </w:p>
    <w:p>
      <w:pPr>
        <w:ind w:firstLine="709"/>
        <w:jc w:val="both"/>
      </w:pPr>
      <w:r>
        <w:t>(1) Poate modelul cu imagine să „vadă” răspunsurile? Pe trăsăturile interne ale rețelei antrenate pe fotografii se antrenează o regresie logistică ce prezice fiecare răspuns, iar calitatea predicției se măsoară prin AUROC [34] (aria de sub curba ROC: 0,5 înseamnă ghicire la întâmplare, 1 înseamnă predicție perfectă). Valorile sunt între 0,50 și 0,70: zona corpului 0,57–0,69, simptomele 0,51–0,57, textura 0,50–0,55, durata 0,56. Fotografiile din SCIN sunt în mare parte prim-planuri, deci nici zona corpului nu se vede bine. Chestionarul conține așadar informație pe care modelul cu imagine nu o are; ipoteza redundanței nu se confirmă.</w:t>
      </w:r>
    </w:p>
    <w:p>
      <w:pPr>
        <w:ind w:firstLine="709"/>
        <w:jc w:val="both"/>
      </w:pPr>
      <w:r>
        <w:t>(2) Greșesc cele două modele pe aceleași cazuri? Dacă erorile ar fi independente, modelul doar cu chestionar ar avea dreptate la cazurile greșite de fotografie la fel de des ca în general (48,2%). În realitate are dreptate doar în 42,6% dintre ele, față de 52,6% la cazurile pe care fotografia le rezolvă corect. Erorile sunt deci corelate: cazurile grele sunt grele pentru ambele modele, ceea ce indică imagini ambigue și etichete zgomotoase, nu lipsă de informație. Ar exista totuși loc de câștig: un „oracol” care ar alege mereu modelul corect ar atinge acuratețea 0,749 față de 0,564 pentru fotografie, dar nimic din datele de intrare nu spune când să ai încredere în chestionar; ansamblul, care a încercat exact acest lucru cu o pondere aleasă pe validare, nu a reușit.</w:t>
      </w:r>
    </w:p>
    <w:p>
      <w:pPr>
        <w:ind w:firstLine="709"/>
        <w:jc w:val="both"/>
      </w:pPr>
      <w:r>
        <w:t>(3) Ce întrebări contează? Ascunzând câte o întrebare din modelul doar cu chestionar, cea mai mare pierdere apare la zona corpului (macro-F1 scade cu 0,125), urmată de durată (0,057), simptome (0,053) și textură (0,043); tipul de piele declarat și vârsta aproape nu contează (0,012 fiecare). Semnalul chestionarului este, în ansamblu, slab (macro-F1 0,381 față de 0,519 pentru fotografie) și concentrat într-o singură întrebare.</w:t>
      </w:r>
    </w:p>
    <w:p>
      <w:pPr>
        <w:ind w:firstLine="709"/>
        <w:jc w:val="both"/>
      </w:pPr>
      <w:r>
        <w:t>Explicația care rezultă este următoarea: chestionarul aduce informație diferită de fotografie, dar slabă, iar partea ei utilă se suprapune în mare parte cu cazurile pe care fotografia le rezolvă deja. Partea cu adevărat complementară este mică și zgomotoasă, iar circa 1.270 de cazuri de antrenare, cu etichete date în majoritate de un singur dermatolog, nu ajung pentru ca un model să învețe în mod fiabil când să se bazeze pe ea. Acest lucru sugerează direcții concrete pentru o aplicație: întrebările despre zona corpului și durată sunt cele care merită păstrate, iar un set de date mai mare sau etichete mai sigure ar fi necesare pentru a obține un câștig măsurabil.</w:t>
      </w:r>
    </w:p>
    <w:p>
      <w:pPr>
        <w:pStyle w:val="Heading2"/>
      </w:pPr>
      <w:r>
        <w:t>8.6 Antrenarea cu răspunsuri ascunse (E2)</w:t>
      </w:r>
    </w:p>
    <w:p>
      <w:pPr>
        <w:ind w:firstLine="709"/>
        <w:jc w:val="both"/>
      </w:pPr>
      <w:r>
        <w:t>Experimentul E2 răspunde la întrebarea de cercetare RQ2: cât pierde modelul de fuziune când lipsesc răspunsuri și dacă antrenarea cu răspunsuri ascunse îl face mai robust (robustețe înseamnă aici că performanța scade puțin când datele de intrare sunt incomplete). Modelul de fuziune prin concatenare (EfficientNet-B0, pierdere ponderată) a fost antrenat în cele trei regimuri de la secțiunea 5.8 pe aceleași zece seed-uri, iar fiecare model a fost testat cu o proporție r de întrebări ascunse (r = 0; 0,25; 0,5; 0,75; 1, pe lângă răspunsurile care lipsesc natural), cu aceleași întrebări ascunse pentru toate modelele (</w:t>
      </w:r>
      <w:r>
        <w:rPr>
          <w:rFonts w:ascii="Courier New" w:hAnsi="Courier New" w:eastAsia="Courier New" w:cs="Courier New"/>
          <w:sz w:val="21"/>
        </w:rPr>
        <w:t>ml/run_e2_dropout.py</w:t>
      </w:r>
      <w:r>
        <w:t xml:space="preserve">; rezultatele în </w:t>
      </w:r>
      <w:r>
        <w:rPr>
          <w:rFonts w:ascii="Courier New" w:hAnsi="Courier New" w:eastAsia="Courier New" w:cs="Courier New"/>
          <w:sz w:val="21"/>
        </w:rPr>
        <w:t>ml/results/e2/</w:t>
      </w:r>
      <w:r>
        <w:t>). Tabelul 8.6 arată macro-F1 pe test.</w:t>
      </w:r>
    </w:p>
    <w:p>
      <w:pPr>
        <w:ind w:firstLine="709"/>
        <w:jc w:val="both"/>
      </w:pPr>
      <w:r>
        <w:t>Cele trei regimuri dau rezultate practic identice. Diferența dintre rata eșantionată și antrenarea fără ascundere este între +0,001 și +0,009 la toate valorile lui r, cu intervale de încredere de 95% care conțin zero (de exemplu +0,003 [-0,015; +0,020] la r = 1); la fel între regimul fix și cel fără ascundere (+0,000 până la +0,009) și între rata eșantionată și regimul fix (-0,004 până la +0,002). Nici un regim nu depășește modelul doar cu imagine (diferențe între -0,005 și -0,020, nesemnificative după corecție, cu excepția unei valori izolate p = 0,049 fără corecție pentru regimul fără ascundere la r = 0,75).</w:t>
      </w:r>
    </w:p>
    <w:p>
      <w:pPr>
        <w:ind w:firstLine="709"/>
        <w:jc w:val="both"/>
      </w:pPr>
      <w:r>
        <w:t>Tabelul 8.6. Macro-F1 pe test în funcție de proporția r de întrebări ascunse, pe zece seed-uri (fuziune prin concatenare, EfficientNet-B0; medie ± abatere standard; ultima coloană: diferența pereche cu interval bootstrap de 95%).</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ind w:firstLine="709"/>
        <w:jc w:val="both"/>
      </w:pPr>
      <w:r>
        <w:t>Rezultatul principal este că pierderea la ascunderea tuturor răspunsurilor este foarte mică chiar și pentru modelul antrenat fără ascundere: -0,001 [-0,016; +0,015], față de -0,010 pentru regimul fix și -0,003 [-0,009; +0,003] pentru rata eșantionată (cel mai îngust interval). Altfel spus, modelul de fuziune se bazează aproape în întregime pe fotografie, deci nu are ce pierde când chestionarul lipsește. Acest lucru este în acord cu secțiunea 8.5 (semnal slab al chestionarului): dropout-ul pe răspunsuri nu poate proteja o informație pe care modelul nu o folosește. Pe grupe de ton al pielii (eFST, eMST) nicio diferență față de regimul fără ascundere nu este semnificativă după corecția Holm; grupele mici (eFST V–VI, circa 23 de cazuri pe seed; eMST 7–10, 11 cazuri) variază mult între seed-uri și nu permit concluzii. Pentru aplicație, consecința practică este că modelul antrenat cu rată eșantionată poate fi folosit fără risc atunci când utilizatorul sare peste întrebări, dar răspunsul la RQ2 trebuie formulat cu prudență: robustețea observată provine din faptul că chestionarul contribuie puțin, nu din antrenarea cu răspunsuri ascunse.</w:t>
      </w:r>
    </w:p>
    <w:p>
      <w:pPr>
        <w:pStyle w:val="Heading2"/>
      </w:pPr>
      <w:r>
        <w:t>8.7 Este rezultatul nul o eroare de metodă? Control pozitiv și stivuire</w:t>
      </w:r>
    </w:p>
    <w:p>
      <w:pPr>
        <w:ind w:firstLine="709"/>
        <w:jc w:val="both"/>
      </w:pPr>
      <w:r>
        <w:t>Secțiunile 8.4–8.6 arată că niciun model nu câștigă din chestionar și că modelul de fuziune nu îl folosește deloc (ascunderea tuturor răspunsurilor nu costă nimic), deși chestionarul singur este clar peste nivelul întâmplării (macro-F1 0,381 față de 0,25 pentru o ghicire la întâmplare între patru categorii). Înainte de a atribui rezultatul datelor, trebuie exclusă o eroare de metodă. O cauză cunoscută în învățarea multimodală este că ramura cea mai puternică (aici imaginea) ajunge să încadreze aproape perfect cazurile de antrenare, astfel că pe datele de antrenare cealaltă sursă pare inutilă și stratul de fuziune învață să o ignore [37]. Au fost făcute trei verificări suplimentare.</w:t>
      </w:r>
    </w:p>
    <w:p>
      <w:pPr>
        <w:ind w:firstLine="709"/>
        <w:jc w:val="both"/>
      </w:pPr>
      <w:r>
        <w:t>(1) Control pozitiv. Un control pozitiv este un test în care rezultatul corect este cunoscut dinainte, folosit pentru a verifica dacă metoda îl poate detecta. Chestionarului real i s-a adăugat o întrebare sintetică al cărei răspuns este categoria adevărată pentru o proporție a („acord”) din cazuri și o categorie aleatoare în rest, fixă pentru fiecare caz (</w:t>
      </w:r>
      <w:r>
        <w:rPr>
          <w:rFonts w:ascii="Courier New" w:hAnsi="Courier New" w:eastAsia="Courier New" w:cs="Courier New"/>
          <w:sz w:val="21"/>
        </w:rPr>
        <w:t>ml/analysis/fusion_positive_control.py</w:t>
      </w:r>
      <w:r>
        <w:t>; trei seed-uri). Erorile acestei întrebări sunt independente de fotografie prin construcție, deci informația ei este complet complementară. La a = 0,5 (întrebarea singură: macro-F1 0,50) modelul de fuziune crește de la 0,527 la 0,635 (+0,108), deci procedura de antrenare poate folosi chestionarul atunci când acesta este suficient de informativ: nu există o eroare de implementare. La a = 0,3, însă, întrebarea singură are macro-F1 0,380, aproape exact cât chestionarul real, iar câștigul fuziunii este doar +0,005.</w:t>
      </w:r>
    </w:p>
    <w:p>
      <w:pPr>
        <w:ind w:firstLine="709"/>
        <w:jc w:val="both"/>
      </w:pPr>
      <w:r>
        <w:t>(2) Stivuire cu validare încrucișată (cross-fitted stacking) [38]. Stivuirea înseamnă combinarea predicțiilor unor modele deja antrenate de către un al doilea model, mic. Pentru ca fotografia să nu pară mai sigură decât este, setul de antrenare al fiecărui seed a fost împărțit în cinci părți (fold-uri) cu aceeași distribuție a categoriilor; pentru fiecare parte, un model doar cu imagine a fost antrenat pe celelalte patru și a prezis partea lăsată deoparte. Astfel fiecare caz de antrenare primește o predicție „din afara fold-ului” (out-of-fold), făcută de un model care nu l-a văzut, la fel de onestă ca o predicție pe test. Combinatorul este o regresie logistică multinomială (un model liniar care transformă intrările în probabilități pentru cele patru categorii), cu ponderi de clasă echilibrate și cu tăria regularizării C (penalizarea coeficienților mari; un C mic înseamnă un model mai simplu) aleasă pe validare (</w:t>
      </w:r>
      <w:r>
        <w:rPr>
          <w:rFonts w:ascii="Courier New" w:hAnsi="Courier New" w:eastAsia="Courier New" w:cs="Courier New"/>
          <w:sz w:val="21"/>
        </w:rPr>
        <w:t>ml/run_stacking.py</w:t>
      </w:r>
      <w:r>
        <w:t>; zece seed-uri). Patru variante folosesc exact aceleași predicții ale fotografiei, deci diferența dintre ele izolează contribuția chestionarului: doar fotografia, fotografia plus răspunsurile brute, fotografia plus probabilitățile unui MLP pe chestionar antrenat tot out-of-fold, și doar chestionarul. Spre deosebire de fuziune, aceste modele folosesc efectiv chestionarul (ascunderea răspunsurilor le schimbă rezultatul), dar nu câștigă din el (Tabelul 8.7): fotografia plus răspunsurile -0,020 [-0,044; +0,006], fotografia plus MLP -0,005 [-0,020; +0,011] față de combinatorul doar cu fotografia. Combinatorul doar cu fotografia este puțin sub modelul doar cu imagine din E1 (-0,023), deoarece fiecare model de fold vede doar 80% din cazurile de antrenare.</w:t>
      </w:r>
    </w:p>
    <w:p>
      <w:pPr>
        <w:ind w:firstLine="709"/>
        <w:jc w:val="both"/>
      </w:pPr>
      <w:r>
        <w:t>Tabelul 8.7. Verificările de metodă (test, macro-F1; stivuirea pe zece seed-uri, diferențe pereche față de combinatorul doar cu fotografia cu interval bootstrap de 95% sau ± abatere standard pentru întrebarea sintetică).</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Model</w:t>
            </w:r>
          </w:p>
        </w:tc>
        <w:tc>
          <w:tcPr>
            <w:tcW w:type="dxa" w:w="2268"/>
          </w:tcPr>
          <w:p>
            <w:r>
              <w:rPr>
                <w:b/>
              </w:rPr>
              <w:t>Macro-F1</w:t>
            </w:r>
          </w:p>
        </w:tc>
        <w:tc>
          <w:tcPr>
            <w:tcW w:type="dxa" w:w="2268"/>
          </w:tcPr>
          <w:p>
            <w:r>
              <w:rPr>
                <w:b/>
              </w:rPr>
              <w:t>Diferență</w:t>
            </w:r>
          </w:p>
        </w:tc>
        <w:tc>
          <w:tcPr>
            <w:tcW w:type="dxa" w:w="2268"/>
          </w:tcPr>
          <w:p>
            <w:r>
              <w:rPr>
                <w:b/>
              </w:rPr>
              <w:t>Seed-uri mai bune</w:t>
            </w:r>
          </w:p>
        </w:tc>
      </w:tr>
      <w:tr>
        <w:tc>
          <w:tcPr>
            <w:tcW w:type="dxa" w:w="2268"/>
          </w:tcPr>
          <w:p>
            <w:r>
              <w:t>Control pozitiv, fuziune + sintetic a = 0,5 (3 seed-uri)</w:t>
            </w:r>
          </w:p>
        </w:tc>
        <w:tc>
          <w:tcPr>
            <w:tcW w:type="dxa" w:w="2268"/>
          </w:tcPr>
          <w:p>
            <w:r>
              <w:t>0,635 ± 0,051</w:t>
            </w:r>
          </w:p>
        </w:tc>
        <w:tc>
          <w:tcPr>
            <w:tcW w:type="dxa" w:w="2268"/>
          </w:tcPr>
          <w:p>
            <w:r>
              <w:t>+0,108 față de fotografie</w:t>
            </w:r>
          </w:p>
        </w:tc>
        <w:tc>
          <w:tcPr>
            <w:tcW w:type="dxa" w:w="2268"/>
          </w:tcPr>
          <w:p>
            <w:r>
              <w:t>3/3</w:t>
            </w:r>
          </w:p>
        </w:tc>
      </w:tr>
      <w:tr>
        <w:tc>
          <w:tcPr>
            <w:tcW w:type="dxa" w:w="2268"/>
          </w:tcPr>
          <w:p>
            <w:r>
              <w:t>Control pozitiv, fuziune + sintetic a = 0,3 (3 seed-uri)</w:t>
            </w:r>
          </w:p>
        </w:tc>
        <w:tc>
          <w:tcPr>
            <w:tcW w:type="dxa" w:w="2268"/>
          </w:tcPr>
          <w:p>
            <w:r>
              <w:t>0,532 ± 0,024</w:t>
            </w:r>
          </w:p>
        </w:tc>
        <w:tc>
          <w:tcPr>
            <w:tcW w:type="dxa" w:w="2268"/>
          </w:tcPr>
          <w:p>
            <w:r>
              <w:t>+0,005 față de fotografie</w:t>
            </w:r>
          </w:p>
        </w:tc>
        <w:tc>
          <w:tcPr>
            <w:tcW w:type="dxa" w:w="2268"/>
          </w:tcPr>
          <w:p>
            <w:r>
              <w:t>2/3</w:t>
            </w:r>
          </w:p>
        </w:tc>
      </w:tr>
      <w:tr>
        <w:tc>
          <w:tcPr>
            <w:tcW w:type="dxa" w:w="2268"/>
          </w:tcPr>
          <w:p>
            <w:r>
              <w:t>Stivuire: doar fotografie</w:t>
            </w:r>
          </w:p>
        </w:tc>
        <w:tc>
          <w:tcPr>
            <w:tcW w:type="dxa" w:w="2268"/>
          </w:tcPr>
          <w:p>
            <w:r>
              <w:t>0,496 ± 0,041</w:t>
            </w:r>
          </w:p>
        </w:tc>
        <w:tc>
          <w:tcPr>
            <w:tcW w:type="dxa" w:w="2268"/>
          </w:tcPr>
          <w:p>
            <w:r>
              <w:t>referință</w:t>
            </w:r>
          </w:p>
        </w:tc>
        <w:tc>
          <w:tcPr>
            <w:tcW w:type="dxa" w:w="2268"/>
          </w:tcPr>
          <w:p>
            <w:r>
              <w:t>—</w:t>
            </w:r>
          </w:p>
        </w:tc>
      </w:tr>
      <w:tr>
        <w:tc>
          <w:tcPr>
            <w:tcW w:type="dxa" w:w="2268"/>
          </w:tcPr>
          <w:p>
            <w:r>
              <w:t>Stivuire: fotografie + răspunsuri brute</w:t>
            </w:r>
          </w:p>
        </w:tc>
        <w:tc>
          <w:tcPr>
            <w:tcW w:type="dxa" w:w="2268"/>
          </w:tcPr>
          <w:p>
            <w:r>
              <w:t>0,476 ± 0,038</w:t>
            </w:r>
          </w:p>
        </w:tc>
        <w:tc>
          <w:tcPr>
            <w:tcW w:type="dxa" w:w="2268"/>
          </w:tcPr>
          <w:p>
            <w:r>
              <w:t>-0,020 [-0,044; +0,006]</w:t>
            </w:r>
          </w:p>
        </w:tc>
        <w:tc>
          <w:tcPr>
            <w:tcW w:type="dxa" w:w="2268"/>
          </w:tcPr>
          <w:p>
            <w:r>
              <w:t>2/10</w:t>
            </w:r>
          </w:p>
        </w:tc>
      </w:tr>
      <w:tr>
        <w:tc>
          <w:tcPr>
            <w:tcW w:type="dxa" w:w="2268"/>
          </w:tcPr>
          <w:p>
            <w:r>
              <w:t>Stivuire: fotografie + MLP chestionar</w:t>
            </w:r>
          </w:p>
        </w:tc>
        <w:tc>
          <w:tcPr>
            <w:tcW w:type="dxa" w:w="2268"/>
          </w:tcPr>
          <w:p>
            <w:r>
              <w:t>0,491 ± 0,031</w:t>
            </w:r>
          </w:p>
        </w:tc>
        <w:tc>
          <w:tcPr>
            <w:tcW w:type="dxa" w:w="2268"/>
          </w:tcPr>
          <w:p>
            <w:r>
              <w:t>-0,005 [-0,020; +0,011]</w:t>
            </w:r>
          </w:p>
        </w:tc>
        <w:tc>
          <w:tcPr>
            <w:tcW w:type="dxa" w:w="2268"/>
          </w:tcPr>
          <w:p>
            <w:r>
              <w:t>4/10</w:t>
            </w:r>
          </w:p>
        </w:tc>
      </w:tr>
      <w:tr>
        <w:tc>
          <w:tcPr>
            <w:tcW w:type="dxa" w:w="2268"/>
          </w:tcPr>
          <w:p>
            <w:r>
              <w:t>Stivuire: fotografie + sintetic a = 0,3</w:t>
            </w:r>
          </w:p>
        </w:tc>
        <w:tc>
          <w:tcPr>
            <w:tcW w:type="dxa" w:w="2268"/>
          </w:tcPr>
          <w:p>
            <w:r>
              <w:t>0,513 ± 0,048</w:t>
            </w:r>
          </w:p>
        </w:tc>
        <w:tc>
          <w:tcPr>
            <w:tcW w:type="dxa" w:w="2268"/>
          </w:tcPr>
          <w:p>
            <w:r>
              <w:t>+0,017 ± 0,036</w:t>
            </w:r>
          </w:p>
        </w:tc>
        <w:tc>
          <w:tcPr>
            <w:tcW w:type="dxa" w:w="2268"/>
          </w:tcPr>
          <w:p>
            <w:r>
              <w:t>6/10</w:t>
            </w:r>
          </w:p>
        </w:tc>
      </w:tr>
      <w:tr>
        <w:tc>
          <w:tcPr>
            <w:tcW w:type="dxa" w:w="2268"/>
          </w:tcPr>
          <w:p>
            <w:r>
              <w:t>Stivuire: fotografie + sintetic a = 0,5</w:t>
            </w:r>
          </w:p>
        </w:tc>
        <w:tc>
          <w:tcPr>
            <w:tcW w:type="dxa" w:w="2268"/>
          </w:tcPr>
          <w:p>
            <w:r>
              <w:t>0,577 ± 0,047</w:t>
            </w:r>
          </w:p>
        </w:tc>
        <w:tc>
          <w:tcPr>
            <w:tcW w:type="dxa" w:w="2268"/>
          </w:tcPr>
          <w:p>
            <w:r>
              <w:t>+0,081 ± 0,046</w:t>
            </w:r>
          </w:p>
        </w:tc>
        <w:tc>
          <w:tcPr>
            <w:tcW w:type="dxa" w:w="2268"/>
          </w:tcPr>
          <w:p>
            <w:r>
              <w:t>10/10</w:t>
            </w:r>
          </w:p>
        </w:tc>
      </w:tr>
    </w:tbl>
    <w:p>
      <w:pPr>
        <w:ind w:firstLine="709"/>
        <w:jc w:val="both"/>
      </w:pPr>
      <w:r>
        <w:t>(3) Plafonul câștigului. Întrebarea sintetică a fost pusă și în combinatorul de stivuire, pe aceleași predicții out-of-fold (</w:t>
      </w:r>
      <w:r>
        <w:rPr>
          <w:rFonts w:ascii="Courier New" w:hAnsi="Courier New" w:eastAsia="Courier New" w:cs="Courier New"/>
          <w:sz w:val="21"/>
        </w:rPr>
        <w:t>ml/analysis/stacking_synthetic_ceiling.py</w:t>
      </w:r>
      <w:r>
        <w:t>; zece seed-uri). Este cazul cel mai favorabil posibil: o întrebare de o anumită tărie, cu erori complet independente de fotografie. Rezultatul dă plafonul câștigului: la tăria chestionarului real (a = 0,3, întrebarea singură 0,363) câștigul este doar +0,017 ± 0,036 (mai bun în 6 din 10 seed-uri); la a = 0,4 (0,417) +0,039 (8/10), la a = 0,5 (0,485) +0,081 (10/10).</w:t>
      </w:r>
    </w:p>
    <w:p>
      <w:pPr>
        <w:ind w:firstLine="709"/>
        <w:jc w:val="both"/>
      </w:pPr>
      <w:r>
        <w:t>Concluzia este că rezultatul nul nu provine dintr-o eroare de metodă, ci din date. O întrebare de tăria chestionarului SCIN poate aduce, chiar și în cazul ideal al independenței complete față de fotografie, cel mult aproximativ 0,02 macro-F1, iar diferențe de această mărime nu pot fi detectate cu circa 270 de cazuri de test pe seed. Răspunsurile reale sunt mai slabe decât acest ideal, deoarece greșesc mai ales pe aceleași cazuri ca fotografia (secțiunea 8.5). Pentru un câștig măsurabil ar fi nevoie de întrebări mai informative (de exemplu macro-F1 de cel puțin 0,42 singure și puțin corelate cu fotografia) sau de un set de date mult mai mare. Pentru lucrare, acesta este un rezultat util: arată de ce chestionarul nu ajută și ce ar trebui să îndeplinească un chestionar ca să ajute.</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2"/>
      </w:pPr>
      <w:r>
        <w:t>Anexa A. Planificarea proiectului: enunțul domeniului și WBS</w:t>
      </w:r>
    </w:p>
    <w:p>
      <w:pPr>
        <w:ind w:firstLine="709"/>
        <w:jc w:val="both"/>
      </w:pPr>
      <w:r>
        <w:t>Proiectul a fost planificat după procesele de management al domeniului din ghidul PMBOK [42]. Domeniul proiectului înseamnă tot lucrul necesar pentru a produce livrabilele, și numai acesta. Planificarea are trei documente: carta proiectului (care autorizează proiectul și fixează obiectivele de nivel înalt), enunțul domeniului (scope statement) și structura de descompunere a lucrărilor (Work Breakdown Structure, WBS) cu dicționarul ei. Ultimele două, împreună cu enunțul, formează baza de referință a domeniului: după aprobare, orice schimbare de domeniu se face doar printr-o cerere de schimbare analizată ca impact asupra timpului, efortului și calității.</w:t>
      </w:r>
    </w:p>
    <w:p>
      <w:pPr>
        <w:ind w:firstLine="709"/>
        <w:jc w:val="both"/>
      </w:pPr>
      <w:r>
        <w:t>Enunțul domeniului (fișierul docs/Enuntul_domeniului_Giotina.docx) descrie scopul proiectului, obiectivele SMART (specifice, măsurabile, realizabile, relevante și încadrate în timp), produsul și cerințele de nivel înalt, nouă livrabile, domeniul inclus și cel exclus, criteriile de acceptare verificabile ale fiecărui livrabil, constrângerile, ipotezele și aprobările. Excluderile scrise explicit (diagnosticul medical, monetizarea, teleconsultația, publicarea în magazinele de aplicații, mentenanța după susținere și funcțiile „stretch”) sunt prima apărare împotriva extinderii necontrolate a domeniului (scope creep). Constrângerile (limite impuse, de exemplu termenele și licența SCIN) sunt separate de ipoteze (lucruri considerate adevărate fără a fi dovedite, de exemplu disponibilitatea a cel puțin cinci testeri beta), deoarece o ipoteză falsă devine un risc.</w:t>
      </w:r>
    </w:p>
    <w:p>
      <w:pPr>
        <w:ind w:firstLine="709"/>
        <w:jc w:val="both"/>
      </w:pPr>
      <w:r>
        <w:t>WBS-ul (Figura A.1, fișierul docs/WBS_Giotina.docx) este descompunerea ierarhică a lucrului în livrabile, nu în activități. Nivelul 1 este proiectul, nivelul 2 sunt cele 10 livrabile majore (managementul proiectului, cercetarea și cerințele, proiectarea, componenta ML, backend-ul, aplicația mobilă, testarea, articolul, teza și livrarea aplicației), iar nivelul 3 sunt cele 44 pachete de lucru. Un pachet de lucru este elementul cel mai de jos al WBS-ului, pentru care efortul se estimează, se atribuie unei persoane și se verifică printr-un rezultat clar. Codul fiecărui element începe cu codul părintelui (de exemplu 1.4 → 1.4.3), iar pachetele respectă regula 8/80 (între 8 și 80 de ore de efort). Efortul total estimat este de 1256 de ore, dintre care 260 pentru componenta ML. WBS-ul respectă regula 100%: ramurile acoperă tot lucrul din enunț, inclusiv managementul proiectului, iar fiecare lucru apare o singură dată (de exemplu, testele unitare aparțin pachetului componentei testate, iar ramura de testare conține doar testele de integrare, end-to-end, de securitate și beta). Diagrama a fost realizată în PlantUML [43], iar culoarea pachetelor arată starea lor la 15.10.2026.</w:t>
      </w:r>
    </w:p>
    <w:p>
      <w:pPr>
        <w:ind w:firstLine="0"/>
        <w:jc w:val="center"/>
      </w:pPr>
      <w:r>
        <w:drawing>
          <wp:inline xmlns:a="http://schemas.openxmlformats.org/drawingml/2006/main" xmlns:pic="http://schemas.openxmlformats.org/drawingml/2006/picture">
            <wp:extent cx="5760000" cy="1508468"/>
            <wp:docPr id="3" name="Picture 3"/>
            <wp:cNvGraphicFramePr>
              <a:graphicFrameLocks noChangeAspect="1"/>
            </wp:cNvGraphicFramePr>
            <a:graphic>
              <a:graphicData uri="http://schemas.openxmlformats.org/drawingml/2006/picture">
                <pic:pic>
                  <pic:nvPicPr>
                    <pic:cNvPr id="0" name="wbs.png"/>
                    <pic:cNvPicPr/>
                  </pic:nvPicPr>
                  <pic:blipFill>
                    <a:blip r:embed="rId17"/>
                    <a:stretch>
                      <a:fillRect/>
                    </a:stretch>
                  </pic:blipFill>
                  <pic:spPr>
                    <a:xfrm>
                      <a:off x="0" y="0"/>
                      <a:ext cx="5760000" cy="1508468"/>
                    </a:xfrm>
                    <a:prstGeom prst="rect"/>
                  </pic:spPr>
                </pic:pic>
              </a:graphicData>
            </a:graphic>
          </wp:inline>
        </w:drawing>
      </w:r>
    </w:p>
    <w:p>
      <w:pPr>
        <w:pStyle w:val="Caption"/>
        <w:jc w:val="center"/>
      </w:pPr>
      <w:r>
        <w:t>Figura A.1. Structura de descompunere a lucrărilor (WBS) a proiectului, cu efortul estimat pe fiecare element (verde = realizat, galben = în lucru, alb = planificat). Versiunea la scară mare este docs/diagrams/wbs.svg.</w:t>
      </w:r>
    </w:p>
    <w:p>
      <w:pPr>
        <w:ind w:firstLine="709"/>
        <w:jc w:val="both"/>
      </w:pPr>
      <w:r>
        <w:t>Dicționarul WBS conține fișele a patru pachete de lucru (1.4.3, 1.4.4, 1.5.1 și 1.6.2), fiecare cu descrierea lucrului, criteriile de acceptare, responsabilul după matricea RACI (R = execută, A = răspunde, C = consultat, I = informat), efortul, dependențele și riscurile. Pentru pachetul 1.6.2 (fluxul de analiză a pielii, 48 de ore) au fost derivate șapte activități, a căror sumă este egală cu efortul pachetului; abia la acest nivel apar verbele și ordinea lucrului, care trec apoi în calendarul proiectului (diagrama Gantt).</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p>
      <w:pPr>
        <w:spacing w:after="120" w:line="276" w:lineRule="auto"/>
        <w:ind w:left="567" w:hanging="567"/>
        <w:jc w:val="left"/>
      </w:pPr>
      <w:r>
        <w:t>[31] S. Holm, A Simple Sequentially Rejective Multiple Test Procedure, Scandinavian Journal of Statistics 6(2), 1979. https://www.jstor.org/stable/4615733</w:t>
      </w:r>
    </w:p>
    <w:p>
      <w:pPr>
        <w:spacing w:after="120" w:line="276" w:lineRule="auto"/>
        <w:ind w:left="567" w:hanging="567"/>
        <w:jc w:val="left"/>
      </w:pPr>
      <w:r>
        <w:t>[32] F. Wilcoxon, Individual Comparisons by Ranking Methods, Biometrics Bulletin 1(6), 1945. https://doi.org/10.2307/3001968</w:t>
      </w:r>
    </w:p>
    <w:p>
      <w:pPr>
        <w:spacing w:after="120" w:line="276" w:lineRule="auto"/>
        <w:ind w:left="567" w:hanging="567"/>
        <w:jc w:val="left"/>
      </w:pPr>
      <w:r>
        <w:t>[33]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[34] T. Fawcett, An introduction to ROC analysis, Pattern Recognition Letters 27(8), 2006. https://doi.org/10.1016/j.patrec.2005.10.010</w:t>
      </w:r>
    </w:p>
    <w:p>
      <w:pPr>
        <w:spacing w:after="120" w:line="276" w:lineRule="auto"/>
        <w:ind w:left="567" w:hanging="567"/>
        <w:jc w:val="left"/>
      </w:pPr>
      <w:r>
        <w:t>[35]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[36] N. Neverova, C. Wolf, G. Taylor, F. Nebout, ModDrop: Adaptive Multi-Modal Gesture Recognition, IEEE Transactions on Pattern Analysis and Machine Intelligence 38(8), 2016. https://doi.org/10.1109/TPAMI.2015.2461544</w:t>
      </w:r>
    </w:p>
    <w:p>
      <w:pPr>
        <w:spacing w:after="120" w:line="276" w:lineRule="auto"/>
        <w:ind w:left="567" w:hanging="567"/>
        <w:jc w:val="left"/>
      </w:pPr>
      <w:r>
        <w:t>[37] W. Wang, D. Tran, M. Feiszli, What Makes Training Multi-Modal Classification Networks Hard?, CVPR 2020. https://arxiv.org/abs/1905.12681</w:t>
      </w:r>
    </w:p>
    <w:p>
      <w:pPr>
        <w:spacing w:after="120" w:line="276" w:lineRule="auto"/>
        <w:ind w:left="567" w:hanging="567"/>
        <w:jc w:val="left"/>
      </w:pPr>
      <w:r>
        <w:t>[38] D. H. Wolpert, Stacked generalization, Neural Networks 5(2), 1992. https://doi.org/10.1016/S0893-6080(05)80023-1</w:t>
      </w:r>
    </w:p>
    <w:p>
      <w:pPr>
        <w:spacing w:after="120" w:line="276" w:lineRule="auto"/>
        <w:ind w:left="567" w:hanging="567"/>
        <w:jc w:val="left"/>
      </w:pPr>
      <w:r>
        <w:t>[39] P. P. Chen, The Entity-Relationship Model: Toward a Unified View of Data, ACM Transactions on Database Systems 1(1), 9-36, 1976. https://doi.org/10.1145/320434.320440</w:t>
      </w:r>
    </w:p>
    <w:p>
      <w:pPr>
        <w:spacing w:after="120" w:line="276" w:lineRule="auto"/>
        <w:ind w:left="567" w:hanging="567"/>
        <w:jc w:val="left"/>
      </w:pPr>
      <w:r>
        <w:t>[40] T. J. Teorey, D. Yang, J. P. Fry, A Logical Design Methodology for Relational Databases Using the Extended Entity-Relationship Model, ACM Computing Surveys 18(2), 197-222, 1986. https://doi.org/10.1145/7474.7475</w:t>
      </w:r>
    </w:p>
    <w:p>
      <w:pPr>
        <w:spacing w:after="120" w:line="276" w:lineRule="auto"/>
        <w:ind w:left="567" w:hanging="567"/>
        <w:jc w:val="left"/>
      </w:pPr>
      <w:r>
        <w:t>[41] draw.io (diagrams.net), instrument de realizare a diagramelor, JGraph Ltd. https://www.drawio.com/</w:t>
      </w:r>
    </w:p>
    <w:p>
      <w:pPr>
        <w:spacing w:after="120" w:line="276" w:lineRule="auto"/>
        <w:ind w:left="567" w:hanging="567"/>
        <w:jc w:val="left"/>
      </w:pPr>
      <w:r>
        <w:t>[42] Project Management Institute, A Guide to the Project Management Body of Knowledge (PMBOK Guide), ediția a 6-a, 2017. https://www.pmi.org/pmbok-guide-standards/foundational/pmbok</w:t>
      </w:r>
    </w:p>
    <w:p>
      <w:pPr>
        <w:spacing w:after="120" w:line="276" w:lineRule="auto"/>
        <w:ind w:left="567" w:hanging="567"/>
        <w:jc w:val="left"/>
      </w:pPr>
      <w:r>
        <w:t>[43] PlantUML, Work Breakdown Structure (WBS) diagram, documentație. https://plantuml.com/wbs-diagram</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