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0"/>
        </w:rPr>
        <w:t>Structura de descompunere a lucrărilor (WBS)</w:t>
      </w:r>
    </w:p>
    <w:p>
      <w:pPr>
        <w:jc w:val="center"/>
      </w:pPr>
      <w:r>
        <w:rPr>
          <w:sz w:val="24"/>
        </w:rPr>
        <w:t>Work Breakdown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Proiect</w:t>
            </w:r>
          </w:p>
        </w:tc>
        <w:tc>
          <w:tcPr>
            <w:tcW w:type="dxa" w:w="6576"/>
          </w:tcPr>
          <w:p>
            <w:r/>
            <w:r>
              <w:rPr>
                <w:sz w:val="20"/>
              </w:rPr>
              <w:t>Companion AI pentru îngrijirea pielii – aplicație mobilă cu analiza pielii, informații despre ingrediente și rutine personalizate (lucrare de licență și articol de cercetare)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6576"/>
          </w:tcPr>
          <w:p>
            <w:r/>
            <w:r>
              <w:rPr>
                <w:sz w:val="20"/>
              </w:rPr>
              <w:t>Managementul proiectelor software (anul IV, semestrul 1)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Instituție</w:t>
            </w:r>
          </w:p>
        </w:tc>
        <w:tc>
          <w:tcPr>
            <w:tcW w:type="dxa" w:w="6576"/>
          </w:tcPr>
          <w:p>
            <w:r/>
            <w:r>
              <w:rPr>
                <w:sz w:val="20"/>
              </w:rPr>
              <w:t>Universitatea din Craiova, Facultatea de Automatică, Calculatoare și Electronică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Autor / manager de proiect</w:t>
            </w:r>
          </w:p>
        </w:tc>
        <w:tc>
          <w:tcPr>
            <w:tcW w:type="dxa" w:w="6576"/>
          </w:tcPr>
          <w:p>
            <w:r/>
            <w:r>
              <w:rPr>
                <w:sz w:val="20"/>
              </w:rPr>
              <w:t>Daria Giotina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Profesor coordonator (sponsor)</w:t>
            </w:r>
          </w:p>
        </w:tc>
        <w:tc>
          <w:tcPr>
            <w:tcW w:type="dxa" w:w="6576"/>
          </w:tcPr>
          <w:p>
            <w:r/>
            <w:r>
              <w:rPr>
                <w:sz w:val="20"/>
              </w:rPr>
              <w:t>Stefan Popescu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Versiune / dată</w:t>
            </w:r>
          </w:p>
        </w:tc>
        <w:tc>
          <w:tcPr>
            <w:tcW w:type="dxa" w:w="6576"/>
          </w:tcPr>
          <w:p>
            <w:r/>
            <w:r>
              <w:rPr>
                <w:sz w:val="20"/>
              </w:rPr>
              <w:t>1.0 / 15.10.2026</w:t>
            </w:r>
          </w:p>
        </w:tc>
      </w:tr>
    </w:tbl>
    <w:p/>
    <w:p>
      <w:r>
        <w:rPr>
          <w:i w:val="0"/>
        </w:rPr>
        <w:t>WBS-ul descompune ierarhic tot lucrul proiectului în livrabile (substantive, nu activități). Nivelul 1 este proiectul, nivelul 2 sunt livrabilele majore din enunțul domeniului, iar nivelul 3 sunt pachetele de lucru: unitatea care se estimează, se atribuie și se verifică. Codul fiecărui element începe cu codul părintelui. Pachetele respectă regula 8/80 (între 8 și 80 de ore de efort).</w:t>
      </w:r>
    </w:p>
    <w:p>
      <w:r>
        <w:rPr>
          <w:i/>
        </w:rPr>
        <w:t>Diagrama a fost realizată în PlantUML (sintaxa @startwbs), iar sursa editabilă este docs/diagrams/wbs.puml; ea se regenerează cu docs/tools/build_scope_wbs.py.</w:t>
      </w:r>
    </w:p>
    <w:p>
      <w:pPr>
        <w:sectPr>
          <w:pgSz w:w="12240" w:h="15840"/>
          <w:pgMar w:top="1134" w:right="1247" w:bottom="1134" w:left="1247" w:header="720" w:footer="720" w:gutter="0"/>
          <w:cols w:space="720"/>
          <w:docGrid w:linePitch="360"/>
        </w:sectPr>
      </w:pPr>
    </w:p>
    <w:p>
      <w:pPr>
        <w:pStyle w:val="Heading1"/>
      </w:pPr>
      <w:r>
        <w:t>1. Diagrama WBS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94800" cy="2407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94800" cy="2407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1. WBS-ul proiectului; culoarea pachetelor arată starea la 15.10.2026.</w:t>
      </w:r>
    </w:p>
    <w:p>
      <w:pPr>
        <w:sectPr>
          <w:pgSz w:w="15840" w:h="12240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pStyle w:val="Heading1"/>
      </w:pPr>
      <w:r>
        <w:t>2. WBS-ul ca tabel (listă indentată)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20"/>
        <w:gridCol w:w="3620"/>
        <w:gridCol w:w="3620"/>
        <w:gridCol w:w="3620"/>
      </w:tblGrid>
      <w:tr>
        <w:tc>
          <w:tcPr>
            <w:tcW w:type="dxa" w:w="907"/>
            <w:shd w:val="clear" w:color="auto" w:fill="D6E4F0"/>
          </w:tcPr>
          <w:p>
            <w:r/>
            <w:r>
              <w:rPr>
                <w:b/>
                <w:sz w:val="18"/>
              </w:rPr>
              <w:t>Cod</w:t>
            </w:r>
          </w:p>
        </w:tc>
        <w:tc>
          <w:tcPr>
            <w:tcW w:type="dxa" w:w="5896"/>
            <w:shd w:val="clear" w:color="auto" w:fill="D6E4F0"/>
          </w:tcPr>
          <w:p>
            <w:r/>
            <w:r>
              <w:rPr>
                <w:b/>
                <w:sz w:val="18"/>
              </w:rPr>
              <w:t>Element</w:t>
            </w:r>
          </w:p>
        </w:tc>
        <w:tc>
          <w:tcPr>
            <w:tcW w:type="dxa" w:w="1247"/>
            <w:shd w:val="clear" w:color="auto" w:fill="D6E4F0"/>
          </w:tcPr>
          <w:p>
            <w:r/>
            <w:r>
              <w:rPr>
                <w:b/>
                <w:sz w:val="18"/>
              </w:rPr>
              <w:t>Efort (ore)</w:t>
            </w:r>
          </w:p>
        </w:tc>
        <w:tc>
          <w:tcPr>
            <w:tcW w:type="dxa" w:w="1361"/>
            <w:shd w:val="clear" w:color="auto" w:fill="D6E4F0"/>
          </w:tcPr>
          <w:p>
            <w:r/>
            <w:r>
              <w:rPr>
                <w:b/>
                <w:sz w:val="18"/>
              </w:rPr>
              <w:t>Stare</w:t>
            </w:r>
          </w:p>
        </w:tc>
      </w:tr>
      <w:tr>
        <w:tc>
          <w:tcPr>
            <w:tcW w:type="dxa" w:w="90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</w:t>
            </w:r>
          </w:p>
        </w:tc>
        <w:tc>
          <w:tcPr>
            <w:tcW w:type="dxa" w:w="5896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Companion AI pentru îngrijirea pielii</w:t>
            </w:r>
          </w:p>
        </w:tc>
        <w:tc>
          <w:tcPr>
            <w:tcW w:type="dxa" w:w="124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1256</w:t>
            </w:r>
          </w:p>
        </w:tc>
        <w:tc>
          <w:tcPr>
            <w:tcW w:type="dxa" w:w="1361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</w:r>
          </w:p>
        </w:tc>
      </w:tr>
      <w:tr>
        <w:tc>
          <w:tcPr>
            <w:tcW w:type="dxa" w:w="90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1.1</w:t>
            </w:r>
          </w:p>
        </w:tc>
        <w:tc>
          <w:tcPr>
            <w:tcW w:type="dxa" w:w="5896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Managementul proiectului</w:t>
            </w:r>
          </w:p>
        </w:tc>
        <w:tc>
          <w:tcPr>
            <w:tcW w:type="dxa" w:w="124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40</w:t>
            </w:r>
          </w:p>
        </w:tc>
        <w:tc>
          <w:tcPr>
            <w:tcW w:type="dxa" w:w="1361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1.1.1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Carta proiectului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realizat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1.1.2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Enunțul domeniului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realizat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1.1.3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Planul proiectului (WBS, dicționar, calendar)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în lucru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1.1.4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Rapoartele de stare (jurnalul lunar)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în lucru</w:t>
            </w:r>
          </w:p>
        </w:tc>
      </w:tr>
      <w:tr>
        <w:tc>
          <w:tcPr>
            <w:tcW w:type="dxa" w:w="90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1.2</w:t>
            </w:r>
          </w:p>
        </w:tc>
        <w:tc>
          <w:tcPr>
            <w:tcW w:type="dxa" w:w="5896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Cercetare și cerințe</w:t>
            </w:r>
          </w:p>
        </w:tc>
        <w:tc>
          <w:tcPr>
            <w:tcW w:type="dxa" w:w="124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92</w:t>
            </w:r>
          </w:p>
        </w:tc>
        <w:tc>
          <w:tcPr>
            <w:tcW w:type="dxa" w:w="1361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1.2.1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Studiul bibliografic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în lucru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1.2.2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Întrebările de cercetare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în lucru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1.2.3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Specificația cerințelor aplicației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1.2.4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Registrul surselor de date și al licențelor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în lucru</w:t>
            </w:r>
          </w:p>
        </w:tc>
      </w:tr>
      <w:tr>
        <w:tc>
          <w:tcPr>
            <w:tcW w:type="dxa" w:w="90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1.3</w:t>
            </w:r>
          </w:p>
        </w:tc>
        <w:tc>
          <w:tcPr>
            <w:tcW w:type="dxa" w:w="5896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Proiectare</w:t>
            </w:r>
          </w:p>
        </w:tc>
        <w:tc>
          <w:tcPr>
            <w:tcW w:type="dxa" w:w="124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84</w:t>
            </w:r>
          </w:p>
        </w:tc>
        <w:tc>
          <w:tcPr>
            <w:tcW w:type="dxa" w:w="1361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1.3.1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Arhitectura sistemului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în lucru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1.3.2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Modelul de date (EER, schema)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realizat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1.3.3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Prototipul interfeței (Figma)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în lucru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1.3.4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Specificația API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1.4</w:t>
            </w:r>
          </w:p>
        </w:tc>
        <w:tc>
          <w:tcPr>
            <w:tcW w:type="dxa" w:w="5896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Componenta ML de analiză a pielii</w:t>
            </w:r>
          </w:p>
        </w:tc>
        <w:tc>
          <w:tcPr>
            <w:tcW w:type="dxa" w:w="124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260</w:t>
            </w:r>
          </w:p>
        </w:tc>
        <w:tc>
          <w:tcPr>
            <w:tcW w:type="dxa" w:w="1361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1.4.1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Setul de date pregătit (audit, etichete, împărțiri)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realizat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1.4.2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Modelul de referință pe imagine (E1)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realizat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1.4.3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Modelele multimodale imagine + chestionar (E1–E2)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realizat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1.4.4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Raportul pe tonuri de piele și calibrare (E3–E4)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în lucru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1.4.5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Comparația cu modelele fundație și transferul extern (E5–E6)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în lucru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1.4.6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Modulul de explicabilitate Grad-CAM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în lucru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1.4.7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Serviciul de inferență ML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1.5</w:t>
            </w:r>
          </w:p>
        </w:tc>
        <w:tc>
          <w:tcPr>
            <w:tcW w:type="dxa" w:w="5896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Backend (API FastAPI)</w:t>
            </w:r>
          </w:p>
        </w:tc>
        <w:tc>
          <w:tcPr>
            <w:tcW w:type="dxa" w:w="124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144</w:t>
            </w:r>
          </w:p>
        </w:tc>
        <w:tc>
          <w:tcPr>
            <w:tcW w:type="dxa" w:w="1361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1.5.1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Modulul de autentificare și conturi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1.5.2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API-ul de analiză a pielii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1.5.3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API-ul de produse și ingrediente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1.5.4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API-ul de rutine, jurnal și progres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1.5.5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Stocarea fotografiilor și drepturile GDPR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1.6</w:t>
            </w:r>
          </w:p>
        </w:tc>
        <w:tc>
          <w:tcPr>
            <w:tcW w:type="dxa" w:w="5896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Aplicația mobilă (React Native + Expo)</w:t>
            </w:r>
          </w:p>
        </w:tc>
        <w:tc>
          <w:tcPr>
            <w:tcW w:type="dxa" w:w="124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188</w:t>
            </w:r>
          </w:p>
        </w:tc>
        <w:tc>
          <w:tcPr>
            <w:tcW w:type="dxa" w:w="1361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1.6.1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Ecranele de cont și de pornire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1.6.2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Fluxul de analiză a pielii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1.6.3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Scannerul de coduri de bare și fișa ingredientelor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1.6.4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Constructorul de rutine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1.6.5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Jurnalul, pozele de progres și mementourile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1.7</w:t>
            </w:r>
          </w:p>
        </w:tc>
        <w:tc>
          <w:tcPr>
            <w:tcW w:type="dxa" w:w="5896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Testare</w:t>
            </w:r>
          </w:p>
        </w:tc>
        <w:tc>
          <w:tcPr>
            <w:tcW w:type="dxa" w:w="124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92</w:t>
            </w:r>
          </w:p>
        </w:tc>
        <w:tc>
          <w:tcPr>
            <w:tcW w:type="dxa" w:w="1361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1.7.1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Suita de teste de integrare (API + ML)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1.7.2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Testele end-to-end ale aplicației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1.7.3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Raportul de securitate și GDPR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1.7.4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Raportul testului beta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1.8</w:t>
            </w:r>
          </w:p>
        </w:tc>
        <w:tc>
          <w:tcPr>
            <w:tcW w:type="dxa" w:w="5896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Articolul de cercetare</w:t>
            </w:r>
          </w:p>
        </w:tc>
        <w:tc>
          <w:tcPr>
            <w:tcW w:type="dxa" w:w="124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104</w:t>
            </w:r>
          </w:p>
        </w:tc>
        <w:tc>
          <w:tcPr>
            <w:tcW w:type="dxa" w:w="1361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1.8.1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Manuscrisul complet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în lucru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1.8.2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Figurile și tabelele rezultatelor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în lucru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1.8.3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Versiunea trimisă revistei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1.9</w:t>
            </w:r>
          </w:p>
        </w:tc>
        <w:tc>
          <w:tcPr>
            <w:tcW w:type="dxa" w:w="5896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Teza de licență</w:t>
            </w:r>
          </w:p>
        </w:tc>
        <w:tc>
          <w:tcPr>
            <w:tcW w:type="dxa" w:w="124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206</w:t>
            </w:r>
          </w:p>
        </w:tc>
        <w:tc>
          <w:tcPr>
            <w:tcW w:type="dxa" w:w="1361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1.9.1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Capitolele introductive și teoretice (1–3)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în lucru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1.9.2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Capitolele de proiectare și implementare (4–7)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70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în lucru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1.9.3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Capitolele de rezultate și concluzii (8–9)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în lucru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1.9.4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Versiunea finală formatată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1.9.5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Prezentarea pentru susținere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1.10</w:t>
            </w:r>
          </w:p>
        </w:tc>
        <w:tc>
          <w:tcPr>
            <w:tcW w:type="dxa" w:w="5896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Livrarea aplicației</w:t>
            </w:r>
          </w:p>
        </w:tc>
        <w:tc>
          <w:tcPr>
            <w:tcW w:type="dxa" w:w="1247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46</w:t>
            </w:r>
          </w:p>
        </w:tc>
        <w:tc>
          <w:tcPr>
            <w:tcW w:type="dxa" w:w="1361"/>
            <w:shd w:val="clear" w:color="auto" w:fill="EAF1F8"/>
          </w:tcPr>
          <w:p>
            <w:r>
              <w:rPr>
                <w:b/>
              </w:rPr>
            </w:r>
            <w:r>
              <w:rPr>
                <w:b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1.10.1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Aplicația instalată (build + API în UE)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1.10.2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Codul sursă publicat și README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1.10.3</w:t>
            </w:r>
          </w:p>
        </w:tc>
        <w:tc>
          <w:tcPr>
            <w:tcW w:type="dxa" w:w="5896"/>
          </w:tcPr>
          <w:p>
            <w:r/>
            <w:r>
              <w:rPr>
                <w:sz w:val="18"/>
              </w:rPr>
              <w:t xml:space="preserve">    Manualul utilizatorului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planificat</w:t>
            </w:r>
          </w:p>
        </w:tc>
      </w:tr>
    </w:tbl>
    <w:p/>
    <w:p>
      <w:pPr>
        <w:pStyle w:val="Heading1"/>
      </w:pPr>
      <w:r>
        <w:t>3. Verificarea WBS-ului</w:t>
      </w:r>
    </w:p>
    <w:p>
      <w:pPr>
        <w:pStyle w:val="ListBullet"/>
      </w:pPr>
      <w:r>
        <w:rPr>
          <w:b/>
        </w:rPr>
        <w:t xml:space="preserve">Regula 100%: </w:t>
      </w:r>
      <w:r>
        <w:t>ramurile acoperă tot lucrul din enunțul domeniului, inclusiv managementul proiectului (1.1); fiecare livrabil L1–L9 are ramura lui, iar efortul nivelului 2 este suma pachetelor de lucru.</w:t>
      </w:r>
    </w:p>
    <w:p>
      <w:pPr>
        <w:pStyle w:val="ListBullet"/>
      </w:pPr>
      <w:r>
        <w:rPr>
          <w:b/>
        </w:rPr>
        <w:t xml:space="preserve">Fără dubluri: </w:t>
      </w:r>
      <w:r>
        <w:t>testele unitare fac parte din pachetul componentei testate, iar ramura 1.7 conține doar testele de integrare, end-to-end, securitate și beta; evaluarea modelului este în 1.4, iar figurile articolului (1.8.2) doar o formatează pentru revistă.</w:t>
      </w:r>
    </w:p>
    <w:p>
      <w:pPr>
        <w:pStyle w:val="ListBullet"/>
      </w:pPr>
      <w:r>
        <w:rPr>
          <w:b/>
        </w:rPr>
        <w:t xml:space="preserve">Substantive, nu verbe: </w:t>
      </w:r>
      <w:r>
        <w:t>toate elementele sunt rezultate („Modulul de autentificare”), iar verbele apar doar la activitățile din secțiunea 5.</w:t>
      </w:r>
    </w:p>
    <w:p>
      <w:pPr>
        <w:pStyle w:val="ListBullet"/>
      </w:pPr>
      <w:r>
        <w:rPr>
          <w:b/>
        </w:rPr>
        <w:t xml:space="preserve">Mărimea pachetelor: </w:t>
      </w:r>
      <w:r>
        <w:t>44 pachete de lucru, între 8 și 70 de ore; total 1256 de ore.</w:t>
      </w:r>
    </w:p>
    <w:p>
      <w:pPr>
        <w:pStyle w:val="Heading1"/>
      </w:pPr>
      <w:r>
        <w:t>4. Dicționarul WBS</w:t>
      </w:r>
    </w:p>
    <w:p>
      <w:r>
        <w:rPr>
          <w:i w:val="0"/>
        </w:rPr>
        <w:t>Fișele pentru patru pachete de lucru. Responsabilitățile urmează matricea RACI: R = execută, A = răspunde de rezultat, C = consultat, I = informat.</w:t>
      </w:r>
    </w:p>
    <w:p>
      <w:pPr>
        <w:pStyle w:val="Heading2"/>
      </w:pPr>
      <w:r>
        <w:t>Fișa pachetului 1.4.3 · Modelele multimodale imagine + chestionar (E1–E2)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40"/>
        <w:gridCol w:w="7240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Descrierea lucrului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Modele care combină caracteristicile imaginii (EfficientNet-B0 preantrenat) cu răspunsurile codificate ale chestionarului și masca de răspunsuri lipsă: fuziune tardivă prin concatenare, fuziune cu poartă (gated) și FiLM, plus antrenarea cu răspunsuri ascunse aleator (answer dropout) pentru experimentul E2.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Criterii de acceptare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Fiecare variantă este antrenată pe 10 seed-uri; tabelele E1 și E2 conțin macro-F1 pe test cu intervale de încredere bootstrap și comparația pereche cu modelul doar pe imagine; testele unitare ale modelului trec.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Responsabil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Daria Giotina execută (R) și răspunde (A); coordonatorul este consultat asupra interpretării (C).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Efort estimat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60 de ore, în M3–M4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Dependențe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1.4.1 Setul de date pregătit; 1.4.2 Modelul de referință pe imagine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Ipoteze și riscuri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Risc: chestionarul nu aduce câștig măsurabil (s-a confirmat; se tratează ca rezultat și se explică prin controale de metodă, fără a forța un rezultat pozitiv).</w:t>
            </w:r>
          </w:p>
        </w:tc>
      </w:tr>
    </w:tbl>
    <w:p/>
    <w:p>
      <w:pPr>
        <w:pStyle w:val="Heading2"/>
      </w:pPr>
      <w:r>
        <w:t>Fișa pachetului 1.4.4 · Raportul pe tonuri de piele și calibrare (E3–E4)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40"/>
        <w:gridCol w:w="7240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Descrierea lucrului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Raport care împarte rezultatele pe grupe de ton de piele (Fitzpatrick I–II, III–IV, V–VI; Monk 1–3, 4–6, 7–10), cu performanța grupei celei mai slabe, calibrarea (ECE) și curbele risc-acoperire pentru ieșirea „incert”.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Criterii de acceptare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Fiecare grupă are macro-F1 cu interval de încredere de 95% și numărul de cazuri; testele de diferență între grupe sunt corectate Holm; grupele cu sub 30 de cazuri sunt marcate ca descriptive.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Responsabil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Daria Giotina (R, A); coordonatorul (C).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Efort estimat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40 de ore, în M4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Dependențe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1.4.3 Modelele multimodale; etichetele de ton eFST și eMST din 1.4.1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Ipoteze și riscuri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Puține cazuri pentru tonurile închise (FST VI: 68 de cazuri) dau intervale largi; limita se raportează deschis.</w:t>
            </w:r>
          </w:p>
        </w:tc>
      </w:tr>
    </w:tbl>
    <w:p/>
    <w:p>
      <w:pPr>
        <w:pStyle w:val="Heading2"/>
      </w:pPr>
      <w:r>
        <w:t>Fișa pachetului 1.5.1 · Modulul de autentificare și conturi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40"/>
        <w:gridCol w:w="7240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Descrierea lucrului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Endpoint-urile FastAPI pentru înregistrare, autentificare, reîmprospătarea și revocarea sesiunii și consimțământul GDPR. Parolele sunt păstrate ca hash Argon2id; accesul folosește tokenuri JWT de scurtă durată și tokenuri de reîmprospătare rotative, stocate ca hash.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Criterii de acceptare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Testele unitare și de integrare ale modulului trec; un token de reîmprospătare folosit a doua oară este respins și revocă sesiunea; nicio parolă sau token nu apare în clar în baza de date sau în loguri.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Responsabil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Daria Giotina (R, A).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Efort estimat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32 de ore, în M5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Dependențe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1.3.2 Modelul de date; 1.3.4 Specificația API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Ipoteze și riscuri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Ipoteză: nivelul gratuit MongoDB Atlas din UE este suficient. Risc: o greșeală de securitate în implementarea proprie; se reduce prin testele din 1.7.3.</w:t>
            </w:r>
          </w:p>
        </w:tc>
      </w:tr>
    </w:tbl>
    <w:p/>
    <w:p>
      <w:pPr>
        <w:pStyle w:val="Heading2"/>
      </w:pPr>
      <w:r>
        <w:t>Fișa pachetului 1.6.2 · Fluxul de analiză a pielii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40"/>
        <w:gridCol w:w="7240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Descrierea lucrului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Ecranele aplicației prin care utilizatorul face o fotografie ghidată, completează chestionarul (cu opțiunea de a sări peste orice întrebare) și vede rezultatul: categoria, scorul de încredere, harta Grad-CAM și mesajul „consultați un specialist” când rezultatul este incert.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Criterii de acceptare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Testele componentelor trec; pe un telefon Android rezultatul apare în cel mult 10 s; o întrebare sărită ajunge la API marcată ca lipsă; ecranul nu conține termeni de diagnostic.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Responsabil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Daria Giotina (R, A); utilizatorii beta sunt informați și dau feedback (I).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Efort estimat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48 de ore, în M6 (activitățile de mai jos)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Dependențe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1.3.3 Prototipul interfeței; 1.5.2 API-ul de analiză; 1.4.7 Serviciul de inferență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Ipoteze și riscuri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Ipoteză: camera telefonului de test oferă calitate suficientă. Risc: timpul de răspuns al inferenței în cloud depășește 10 s; măsură: imagine redimensionată înainte de încărcare.</w:t>
            </w:r>
          </w:p>
        </w:tc>
      </w:tr>
    </w:tbl>
    <w:p/>
    <w:p>
      <w:pPr>
        <w:pStyle w:val="Heading1"/>
      </w:pPr>
      <w:r>
        <w:t>5. Activitățile pachetului 1.6.2 Fluxul de analiză a pielii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794"/>
            <w:shd w:val="clear" w:color="auto" w:fill="D6E4F0"/>
          </w:tcPr>
          <w:p>
            <w:r/>
            <w:r>
              <w:rPr>
                <w:b/>
                <w:sz w:val="20"/>
              </w:rPr>
              <w:t>Cod</w:t>
            </w:r>
          </w:p>
        </w:tc>
        <w:tc>
          <w:tcPr>
            <w:tcW w:type="dxa" w:w="7143"/>
            <w:shd w:val="clear" w:color="auto" w:fill="D6E4F0"/>
          </w:tcPr>
          <w:p>
            <w:r/>
            <w:r>
              <w:rPr>
                <w:b/>
                <w:sz w:val="20"/>
              </w:rPr>
              <w:t>Activitatea</w:t>
            </w:r>
          </w:p>
        </w:tc>
        <w:tc>
          <w:tcPr>
            <w:tcW w:type="dxa" w:w="1474"/>
            <w:shd w:val="clear" w:color="auto" w:fill="D6E4F0"/>
          </w:tcPr>
          <w:p>
            <w:r/>
            <w:r>
              <w:rPr>
                <w:b/>
                <w:sz w:val="20"/>
              </w:rPr>
              <w:t>Efort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A1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Proiectează navigarea și stările ecranelor de analiză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4 h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A2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Implementează captura foto ghidată (expo-camera)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 h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A3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Implementează chestionarul cu opțiunea „sari peste”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8 h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A4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Implementează încărcarea fotografiei prin URL presemnat și apelul de analiză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8 h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A5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Implementează ecranul de rezultat (categorie, încredere, Grad-CAM, avertisment)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 h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A6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Scrie testele componentelor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6 h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A7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Code review și corecturi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2 h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Total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48 h</w:t>
            </w:r>
          </w:p>
        </w:tc>
      </w:tr>
    </w:tbl>
    <w:p/>
    <w:p>
      <w:r>
        <w:rPr>
          <w:i w:val="0"/>
        </w:rPr>
        <w:t>Suma activităților (48 h) este egală cu efortul pachetului (48 h). Ordinea activităților: A1 → (A2 ∥ A3) → A4 → A5 → A6 → A7; captura foto și chestionarul se pot face în paralel, după care urmează legarea lor de API și ecranul de rezultat. Ordinea și duratele trec apoi în calendarul proiectului (diagrama Gantt).</w:t>
      </w:r>
    </w:p>
    <w:sectPr w:rsidR="00FC693F" w:rsidRPr="0006063C" w:rsidSect="00034616">
      <w:pgSz w:w="15840" w:h="122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