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jc w:val="both"/>
      </w:pPr>
      <w:r>
        <w:rPr>
          <w:highlight w:val="yellow"/>
        </w:rPr>
        <w:t>[De redactat: diagrame, modelul de date MongoDB, proiectarea API-ului.]</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 xml:space="preserve">Pe lângă cazurile propriu-zise, s-a verificat dacă aceeași fotografie apare în mai multe cazuri: pentru toate cele 4.089 de imagini descărcate (inclusiv toate cele 3.886 ale cazurilor folosite) s-a calculat amprenta MD5, un cod care este identic doar pentru fișiere identice (scriptul </w:t>
      </w:r>
      <w:r>
        <w:rPr>
          <w:rFonts w:ascii="Courier New" w:hAnsi="Courier New" w:eastAsia="Courier New" w:cs="Courier New"/>
          <w:sz w:val="21"/>
        </w:rPr>
        <w:t>ml/scripts/find_duplicate_images.py</w:t>
      </w:r>
      <w:r>
        <w:t>). Au rezultat 5 grupuri de câte 2–3 cazuri (12 cazuri în total) care conțin aceleași fotografii, probabil același contributor care a trimis cazul de două ori. În prima versiune a împărțirii, pentru seed-ul 0, patru astfel de fotografii ajungeau în seturi diferite, deci modelul ar fi putut vedea la antrenare o imagine de test. De aceea, cazurile unui grup sunt tratate ca o singură unitate la împărțire. Într-un grup, aceleași fotografii au primit categorii diferite (redness_rosacea, eczema_dermatitis și excluded), un exemplu concret de zgomot în etichete, adică etichete inconsecvente pentru aceeași imagine.</w:t>
      </w:r>
    </w:p>
    <w:p>
      <w:pPr>
        <w:ind w:firstLine="709"/>
        <w:jc w:val="both"/>
      </w:pPr>
      <w:r>
        <w:t>Rezultatul este, în funcție de seed, între 3.522 și 3.525 de cazuri în antrenare, între 754 și 757 în validare și între 754 și 756 în testare. În grupul eFST V–VI cazurile se repartizează 303, 68 și 65 (seed-ul 0). Categoria redness_rosacea are în total 44 de cazuri (30 în antrenare, 8 în validare, 6 în testare, pentru seed-ul 0), iar în V–VI un singur caz, în validare,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că seturile acoperă toate cazurile și că nicio fotografie identică nu apare în două seturi.</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273 în validare și 270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aduse la 224×224 pixeli păstrând proporțiile: latura mai lungă este scalată la 224 de pixeli, iar spațiul rămas este completat cu negru (letterbox). Majoritatea fotografiilor SCIN sunt în format portret 3:4, iar întinderea lor la un pătrat ar deforma leziunile. Imaginile sunt apoi normalizate cu media (0,485; 0,456; 0,406) și abaterea standard (0,229; 0,224; 0,225) ale setului ImageNet, valorile cu care au fost antrenate rețelele preantrenate; validarea și testarea nu primesc nicio augmentare în afară de aceste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ind w:firstLine="709"/>
        <w:jc w:val="both"/>
      </w:pPr>
      <w:r>
        <w:t>Modelul combină două ramuri printr-o fuziune târzie (late fusion), adică ramurile sunt procesate separat și informațiile lor se unesc abia înainte de decizia finală. Ramura de imagine este rețeaua EfficientNet-B0 [7], preluată din biblioteca timm [8] cu ponderi preantrenate pe ImageNet (învățare prin transfer: rețeaua pornește de la ce a învățat deja pe un set mare de imagini și este reantrenată pe SCIN). Ramura chestionarului este o rețea mică cu un strat de 64 de unități, care primește vectorul de 40 de trăsături alăturat măștii de 6 valori (46 de numere). Dacă chestionarul lipsește complet, modelul primește trăsături 0 și toate valorile măștii egale cu 1, aceeași reprezentare ca la antrenare, deci un chestionar absent nu este confundat cu unul completat cu răspunsuri 0. Ieșirile celor două ramuri se concatenează și trec printr-un strat final care produce scorul pentru fiecare dintre cele patru categorii. Ca valoare de referință se antrenează și un model doar cu imagine, fără ramura chestionarului.</w:t>
      </w:r>
    </w:p>
    <w:p>
      <w:pPr>
        <w:ind w:firstLine="709"/>
        <w:jc w:val="both"/>
      </w:pPr>
      <w:r>
        <w:t>Pentru robustețea la răspunsuri lipsă se folosește modality dropout: în timpul antrenării, pentru fiecare exemplu chestionarul este ascuns în întregime cu probabilitate 0,3, iar fiecare câmp este ascuns separat cu probabilitate 0,15. Un câmp ascuns primește trăsături 0 și masca 1, exact ca un răspuns lipsă real, deci modelul învață să se descurce și fără chestionar. Cum categoriile sunt dezechilibrate (de exemplu 44 de cazuri redness_rosacea față de 1.068 eczema_dermatitis), pierderea (loss, măsura erorii pe care o minimizează antrenarea) este entropia încrucișată ponderată invers proporțional cu frecvența clasei. Optimizatorul este AdamW [9] cu rata de învățare 3·10⁻⁴ și descreștere cosinusoidală [10], pe 15 epoci, cu precizie mixtă pe GPU. Se păstrează punctul de oprire (checkpoint) cu cel mai bun macro-F1 pe setul de validare.</w:t>
      </w:r>
    </w:p>
    <w:p>
      <w:pPr>
        <w:ind w:firstLine="709"/>
        <w:jc w:val="both"/>
      </w:pPr>
      <w:r>
        <w:t>Antrenarea este realizată de un motor reutilizabil (ml/engine.py) care nu depinde de arhitectura modelului: aceleași funcții de antrenare și evaluare servesc atât modelul doar cu imagine, cât și modelul cu fuziune. Funcția de pierdere poate fi entropia încrucișată ponderată pe clase sau pierderea focală (focal loss) [11], care reduce contribuția exemplelor ușoare, sigure, pentru ca antrenarea să se concentreze pe cele dificile și rare; cele două variante se compară ca ablație. Antrenarea folosește precizie mixtă automată (AMP), adică calcule în precizie redusă pe GPU pentru viteză. Criteriul de oprire și de salvare a punctului de control este macro-F1 pe validare, nu acuratețea simplă, care ar fi înșelătoare la clase dezechilibrate; antrenarea se oprește timpuriu (early stopping) dacă macro-F1 nu se îmbunătățește timp de 5 epoci consecutive. Pentru fiecare epocă se înregistrează pierderea de antrenare, pierderea de validare, macro-F1 și durata (fișierul log.csv).</w:t>
      </w:r>
    </w:p>
    <w:p>
      <w:pPr>
        <w:ind w:firstLine="709"/>
        <w:jc w:val="both"/>
      </w:pPr>
      <w:r>
        <w:t>Modelul de referință doar cu imagine (</w:t>
      </w:r>
      <w:r>
        <w:rPr>
          <w:rFonts w:ascii="Courier New" w:hAnsi="Courier New" w:eastAsia="Courier New" w:cs="Courier New"/>
          <w:sz w:val="21"/>
        </w:rPr>
        <w:t>ml/models/image_model.py</w:t>
      </w:r>
      <w:r>
        <w:t>) este evaluat cu două rețele preantrenate: EfficientNet-B0 [7] și MobileNetV3-Large [13], o rețea mai mică, proiectată pentru telefoane mobile, deci relevantă pentru o aplicație mobilă. Stratul de clasificare ImageNet (1.000 de clase) este înlocuit cu unul nou, cu patru ieșiri, inițializat cu ponderi mici, astfel încât la început modelul să atribuie probabilități aproape egale celor patru categorii; inițializarea implicită a bibliotecii pornea de la scoruri foarte mari și de la o pierdere de aproximativ 4,5 în loc de circa 1,4.</w:t>
      </w:r>
    </w:p>
    <w:p>
      <w:pPr>
        <w:ind w:firstLine="709"/>
        <w:jc w:val="both"/>
      </w:pPr>
      <w:r>
        <w:t>Rețeaua este reantrenată în trei etape (staged fine-tuning), pentru a evita uitarea catastrofală (catastrophic forgetting), adică pierderea trăsăturilor utile învățate pe ImageNet atunci când toate straturile sunt modificate brusc de gradienții mari ai unui strat de clasificare încă neantrenat. În etapa 1 se antrenează doar stratul de clasificare (rata de învățare 10⁻³), restul rețelei fiind înghețat (parametrii nu se modifică). În etapa 2 se deblochează și ultimele două blocuri ale rețelei, împreună cu stratul convoluțional final, cu o rată de învățare de 10 ori mai mică decât a stratului de clasificare (3·10⁻⁴ pentru clasificator, 3·10⁻⁵ pentru rețea). În etapa 3, opțională, se antrenează toți parametrii cu o rată și mai mică (10⁻⁴, respectiv 10⁻⁵). Fiecare etapă pornește de la cel mai bun punct de control de până atunci și are propriul criteriu de oprire timpurie. Straturile de normalizare pe lot (batch normalization) care sunt înghețate rămân în modul de evaluare, astfel încât statisticile lor, calculate pe ImageNet, nu sunt suprascrise. Pentru o comparație corectă cu modelul cu chestionar, aceeași procedură în etape trebuie aplicată și modelului cu fuziune.</w:t>
      </w:r>
    </w:p>
    <w:p>
      <w:pPr>
        <w:pStyle w:val="Heading2"/>
      </w:pPr>
      <w:r>
        <w:t>5.9 Explicabilitate (Grad-CAM)</w:t>
      </w:r>
    </w:p>
    <w:p>
      <w:pPr>
        <w:jc w:val="both"/>
      </w:pPr>
      <w:r>
        <w:rPr>
          <w:highlight w:val="yellow"/>
        </w:rPr>
        <w:t>[De redactat.]</w:t>
      </w:r>
    </w:p>
    <w:p>
      <w:pPr>
        <w:pStyle w:val="Heading2"/>
      </w:pPr>
      <w:r>
        <w:t>5.10 Protocolul de evaluare</w:t>
      </w:r>
    </w:p>
    <w:p>
      <w:pPr>
        <w:ind w:firstLine="709"/>
        <w:jc w:val="both"/>
      </w:pPr>
      <w:r>
        <w:t>Evaluarea se face o singură dată pe setul de testare, cu ponderile alese pe validare. Metricile sunt macro-F1 (media scorului F1 pe clase, care tratează egal clasele mici și mari) și acuratețea echilibrată (media recall-ului pe clase), raportate global și separat pe grupele eFST (I–II, III–IV, V–VI, lipsă), împreună cu diferența maximă dintre grupele de ton (I–II, III–IV, V–VI; grupa „lipsă” nu este un ton). Într-o grupă, macro-F1 se calculează doar pe categoriile care apar în ea (de exemplu, redness_rosacea nu are cazuri V–VI în testare). Pentru fiecare valoare se raportează un interval de încredere de 95% obținut prin bootstrap [12], adică prin reeșantionarea repetată (de 1.000 de ori) a cazurilor de test cu înlocuire; intervalele arată cât de sigure sunt rezultatele pe grupele mici. Pentru întrebarea privind răspunsurile lipsă, modelul este testat cu 0%, 25%, 50%, 75% și 100% dintre câmpurile chestionarului ascunse (fiecare câmp independent, în plus față de răspunsurile care lipsesc deja în date; la 100% chestionarul este ascuns complet), și comparat cu modelul doar cu imagine. Fiecare configurație se rulează pentru cele cinci seed-uri (0–4), iar rezultatele se raportează ca medie și interval de variație. Scriptul este ml/train.py.</w:t>
      </w:r>
    </w:p>
    <w:p>
      <w:pPr>
        <w:ind w:firstLine="709"/>
        <w:jc w:val="both"/>
      </w:pPr>
      <w:r>
        <w:t xml:space="preserve">Evaluarea este realizată de scriptul </w:t>
      </w:r>
      <w:r>
        <w:rPr>
          <w:rFonts w:ascii="Courier New" w:hAnsi="Courier New" w:eastAsia="Courier New" w:cs="Courier New"/>
          <w:sz w:val="21"/>
        </w:rPr>
        <w:t>ml/evaluate.py</w:t>
      </w:r>
      <w:r>
        <w:t>, care citește un fișier standard de predicții (</w:t>
      </w:r>
      <w:r>
        <w:rPr>
          <w:rFonts w:ascii="Courier New" w:hAnsi="Courier New" w:eastAsia="Courier New" w:cs="Courier New"/>
          <w:sz w:val="21"/>
        </w:rPr>
        <w:t>predictions.csv</w:t>
      </w:r>
      <w:r>
        <w:t>, câte un rând pe caz, cu categoria reală, categoria prezisă, încrederea, eFST, eMST, seed-ul și proporția de răspunsuri ascunse). Pe lângă macro-F1 și acuratețea echilibrată, se raportează precizia, recall-ul și F1 pentru fiecare categorie. Precizia arată ce proporție dintre cazurile atribuite unei categorii aparțin cu adevărat ei, iar recall-ul ce proporție dintre cazurile unei categorii au fost găsite.</w:t>
      </w:r>
    </w:p>
    <w:p>
      <w:pPr>
        <w:ind w:firstLine="709"/>
        <w:jc w:val="both"/>
      </w:pPr>
      <w:r>
        <w:t>Calibrarea arată dacă încrederea modelului corespunde realității: un model bine calibrat care afirmă 80% încredere are dreptate în aproximativ 80% din cazuri. Încrederea este probabilitatea maximă dată de model unei categorii. Se măsoară prin eroarea de calibrare așteptată (Expected Calibration Error, ECE) [14]: predicțiile sunt împărțite în 15 intervale egale după încredere, iar ECE este media ponderată a diferenței dintre încrederea medie și acuratețea din fiecare interval. Pentru o aplicație informativă contează și curba risc-acoperire (risk-coverage) [15]: dacă aplicația răspunde doar când încrederea depășește un prag și altfel recomandă consultarea unui specialist, curba arată acuratețea obținută pentru fiecare proporție de cazuri la care răspunde (acoperire). Aria de sub curba riscului (AURC) rezumă curba într-un singur număr; o valoare mai mică este mai bună.</w:t>
      </w:r>
    </w:p>
    <w:p>
      <w:pPr>
        <w:ind w:firstLine="709"/>
        <w:jc w:val="both"/>
      </w:pPr>
      <w:r>
        <w:t>Echitatea este raportată pe ambele scale de ton, eFST (I–II, III–IV, V–VI) și eMST (1–3, 4–6, 7–10). Pentru fiecare scală se identifică grupul cel mai defavorizat (worst group) [16], adică grupul de ton cu cel mai mic macro-F1, împreună cu diferența față de grupul cel mai bun. Doar grupurile cu cel puțin 20 de cazuri pot fi desemnate astfel, deoarece pe grupuri mai mici estimarea este prea nesigură; grupurile excluse sunt menționate explicit. Intervalele de încredere bootstrap [12] reeșantionează cazuri (</w:t>
      </w:r>
      <w:r>
        <w:rPr>
          <w:rFonts w:ascii="Courier New" w:hAnsi="Courier New" w:eastAsia="Courier New" w:cs="Courier New"/>
          <w:sz w:val="21"/>
        </w:rPr>
        <w:t>case_id</w:t>
      </w:r>
      <w:r>
        <w:t>), nu rânduri: toate rândurile unui caz sunt păstrate împreună, astfel încât observațiile aceluiași caz nu sunt tratate ca independente. Rezultatele celor cinci seed-uri sunt rezumate prin medie, abatere standard, minim și maxim.</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redactat: teste, metrici ale modelului, feedback de la utilizatori.]</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p>
      <w:pPr>
        <w:spacing w:after="120" w:line="276" w:lineRule="auto"/>
        <w:ind w:left="567" w:hanging="567"/>
        <w:jc w:val="left"/>
      </w:pPr>
      <w:r>
        <w:t>[7] M. Tan, Q. V. Le, EfficientNet: Rethinking Model Scaling for Convolutional Neural Networks, ICML 2019. https://arxiv.org/abs/1905.11946</w:t>
      </w:r>
    </w:p>
    <w:p>
      <w:pPr>
        <w:spacing w:after="120" w:line="276" w:lineRule="auto"/>
        <w:ind w:left="567" w:hanging="567"/>
        <w:jc w:val="left"/>
      </w:pPr>
      <w:r>
        <w:t>[8] R. Wightman, PyTorch Image Models (timm), GitHub repository. https://github.com/huggingface/pytorch-image-models</w:t>
      </w:r>
    </w:p>
    <w:p>
      <w:pPr>
        <w:spacing w:after="120" w:line="276" w:lineRule="auto"/>
        <w:ind w:left="567" w:hanging="567"/>
        <w:jc w:val="left"/>
      </w:pPr>
      <w:r>
        <w:t>[9] I. Loshchilov, F. Hutter, Decoupled Weight Decay Regularization, ICLR 2019. https://arxiv.org/abs/1711.05101</w:t>
      </w:r>
    </w:p>
    <w:p>
      <w:pPr>
        <w:spacing w:after="120" w:line="276" w:lineRule="auto"/>
        <w:ind w:left="567" w:hanging="567"/>
        <w:jc w:val="left"/>
      </w:pPr>
      <w:r>
        <w:t>[10] I. Loshchilov, F. Hutter, SGDR: Stochastic Gradient Descent with Warm Restarts, ICLR 2017. https://arxiv.org/abs/1608.03983</w:t>
      </w:r>
    </w:p>
    <w:p>
      <w:pPr>
        <w:spacing w:after="120" w:line="276" w:lineRule="auto"/>
        <w:ind w:left="567" w:hanging="567"/>
        <w:jc w:val="left"/>
      </w:pPr>
      <w:r>
        <w:t>[11] T.-Y. Lin, P. Goyal, R. Girshick, K. He, P. Dollár, Focal Loss for Dense Object Detection, ICCV 2017. https://arxiv.org/abs/1708.02002</w:t>
      </w:r>
    </w:p>
    <w:p>
      <w:pPr>
        <w:spacing w:after="120" w:line="276" w:lineRule="auto"/>
        <w:ind w:left="567" w:hanging="567"/>
        <w:jc w:val="left"/>
      </w:pPr>
      <w:r>
        <w:t>[12] B. Efron, R. J. Tibshirani, An Introduction to the Bootstrap, Chapman &amp; Hall/CRC, 1993. https://doi.org/10.1201/9780429246593</w:t>
      </w:r>
    </w:p>
    <w:p>
      <w:pPr>
        <w:spacing w:after="120" w:line="276" w:lineRule="auto"/>
        <w:ind w:left="567" w:hanging="567"/>
        <w:jc w:val="left"/>
      </w:pPr>
      <w:r>
        <w:t>[13] A. Howard, M. Sandler, G. Chu, L.-C. Chen, B. Chen, M. Tan, W. Wang, Y. Zhu, R. Pang, V. Vasudevan, Q. V. Le, H. Adam, Searching for MobileNetV3, ICCV 2019. https://arxiv.org/abs/1905.02244</w:t>
      </w:r>
    </w:p>
    <w:p>
      <w:pPr>
        <w:spacing w:after="120" w:line="276" w:lineRule="auto"/>
        <w:ind w:left="567" w:hanging="567"/>
        <w:jc w:val="left"/>
      </w:pPr>
      <w:r>
        <w:t>[14] C. Guo, G. Pleiss, Y. Sun, K. Q. Weinberger, On Calibration of Modern Neural Networks, ICML 2017. https://arxiv.org/abs/1706.04599</w:t>
      </w:r>
    </w:p>
    <w:p>
      <w:pPr>
        <w:spacing w:after="120" w:line="276" w:lineRule="auto"/>
        <w:ind w:left="567" w:hanging="567"/>
        <w:jc w:val="left"/>
      </w:pPr>
      <w:r>
        <w:t>[15] Y. Geifman, R. El-Yaniv, Selective Classification for Deep Neural Networks, NeurIPS 2017. https://arxiv.org/abs/1705.08500</w:t>
      </w:r>
    </w:p>
    <w:p>
      <w:pPr>
        <w:spacing w:after="120" w:line="276" w:lineRule="auto"/>
        <w:ind w:left="567" w:hanging="567"/>
        <w:jc w:val="left"/>
      </w:pPr>
      <w:r>
        <w:t>[16] S. Sagawa, P. W. Koh, T. B. Hashimoto, P. Liang, Distributionally Robust Neural Networks for Group Shifts, ICLR 2020. https://arxiv.org/abs/1911.08731</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