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Capitolul 1. Introducere</w:t>
      </w:r>
    </w:p>
    <w:p>
      <w:pPr>
        <w:jc w:val="center"/>
      </w:pPr>
      <w:r>
        <w:rPr>
          <w:i/>
        </w:rPr>
        <w:t>Lucrare de licență: Companion pentru îngrijirea pielii asistat de inteligență artificială. Autor: Daria Giotina. (Ciornă)</w:t>
      </w:r>
    </w:p>
    <w:p>
      <w:pPr>
        <w:pStyle w:val="Heading2"/>
      </w:pPr>
      <w:r>
        <w:t>1.1 Motivație și formularea problemei</w:t>
      </w:r>
    </w:p>
    <w:p>
      <w:pPr>
        <w:ind w:firstLine="709"/>
        <w:jc w:val="both"/>
      </w:pPr>
      <w:r>
        <w:t>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[CITE], iar accesul la consultații de specialitate este adesea limitat de costuri, de distanța geografică sau de timpul de așteptare [CITE].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ind w:firstLine="709"/>
        <w:jc w:val="both"/>
      </w:pPr>
      <w:r>
        <w:t>Progresele recente din domeniul învățării automate, în special al rețelelor neuronale convoluționale și al transferului de cunoștințe de la modele preantrenate, au făcut posibilă clasificarea automată a imaginilor dermatologice cu rezultate promițătoare [CITE]. Cu toate acestea, majoritatea abordărilor existente se bazează exclusiv pe fotografie, deși informațiile declarate de utilizator, precum durata apariției, senzația de mâncărime sau rutina folosită, conțin indicii complementare pe care o imagine singură nu le poate oferi [CITE].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O a doua problemă, de natură etică și tehnică, este reprezentarea inegală a tonurilor de piele în seturile de date folosite pentru antrenare. Mai multe studii arată că tonurile închise sunt subreprezentate, ceea ce poate duce la performanțe diferite între grupuri [CITE]. Un sistem care îmbunătățește rezultatele în medie, dar le înrăutățește pentru anumite tonuri de piele, nu poate fi considerat echitabil, iar evaluarea performanței trebuie, prin urmare, stratificată în funcție de scalele Fitzpatrick și Monk [CITE].</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1.2 Obiective</w:t>
      </w:r>
    </w:p>
    <w:p>
      <w:pPr>
        <w:ind w:firstLine="709"/>
        <w:jc w:val="both"/>
      </w:pPr>
      <w:r>
        <w:t>[De redactat.]</w:t>
      </w:r>
    </w:p>
    <w:p>
      <w:pPr>
        <w:pStyle w:val="Heading2"/>
      </w:pPr>
      <w:r>
        <w:t>1.3 Contribuții</w:t>
      </w:r>
    </w:p>
    <w:p>
      <w:pPr>
        <w:ind w:firstLine="709"/>
        <w:jc w:val="both"/>
      </w:pPr>
      <w:r>
        <w:t>[De redactat după obținerea rezultatelor.]</w:t>
      </w:r>
    </w:p>
    <w:p>
      <w:pPr>
        <w:pStyle w:val="Heading1"/>
      </w:pPr>
      <w:r>
        <w:t>Capitolul 5. Metodologia AI/ML (ciornă)</w:t>
      </w:r>
    </w:p>
    <w:p>
      <w:pPr>
        <w:pStyle w:val="Heading2"/>
      </w:pPr>
      <w:r>
        <w:t>5.1 Setul de date SCIN: obținere, licență și audit</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[4]. Metadatele sunt distribuite sub forma a două fișiere CSV principale, scin_cases.csv și scin_labels.csv, legate prin identificatorul case_id, alături de două fișiere care descriu întrebările din aplicație și din procesul de etichetare (https://github.com/google-research-datasets/scin/blob/main/dataset_schema.md) [3]. Fișierele au fost descărcate din depozitul public Google Cloud Storage dx-scin-public-data, versiunea 1.0.0.</w:t>
      </w:r>
    </w:p>
    <w:p>
      <w:pPr>
        <w:ind w:firstLine="709"/>
        <w:jc w:val="both"/>
      </w:pPr>
      <w:r>
        <w:t>Utilizarea datelor este reglementată de SCIN Data Use License (https://github.com/google-research-datasets/scin/blob/main/LICENSE) [2].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ind w:firstLine="709"/>
        <w:jc w:val="both"/>
      </w:pPr>
      <w:r>
        <w:t>Pentru a cunoaște structura și limitările datelor înainte de proiectarea modelului, a fost implementat scriptul ml/scripts/audit_scin.py. Acesta încarcă cele două fișiere, verifică unicitatea și corespondența identificatorului case_id, unește tabelele la nivel de caz și generează o schemă a coloanelor (scin_schema.json), un raport de audit (scin_audit_report.md) și o intrare în registrul surselor de date (data_sources.csv). 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AGE_UNKNOWN sau OTHER_OR_UNSPECIFIED, au fost raportate separat de valorile absente.</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 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r>
        <w:rPr>
          <w:i/>
        </w:rPr>
        <w:t>Tabelul 5.1. Distribuția tonurilor de piele estimate în SCIN (N = 5.033 cazuri).</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Grupă</w:t>
            </w:r>
          </w:p>
        </w:tc>
        <w:tc>
          <w:tcPr>
            <w:tcW w:type="dxa" w:w="3135"/>
          </w:tcPr>
          <w:p>
            <w:r>
              <w:rPr>
                <w:b/>
              </w:rPr>
              <w:t>Cazuri</w:t>
            </w:r>
          </w:p>
        </w:tc>
        <w:tc>
          <w:tcPr>
            <w:tcW w:type="dxa" w:w="3135"/>
          </w:tcPr>
          <w:p>
            <w:r>
              <w:rPr>
                <w:b/>
              </w:rPr>
              <w:t>Procent</w:t>
            </w:r>
          </w:p>
        </w:tc>
      </w:tr>
      <w:tr>
        <w:tc>
          <w:tcPr>
            <w:tcW w:type="dxa" w:w="3135"/>
          </w:tcPr>
          <w:p>
            <w:r>
              <w:t>eFST I–II</w:t>
            </w:r>
          </w:p>
        </w:tc>
        <w:tc>
          <w:tcPr>
            <w:tcW w:type="dxa" w:w="3135"/>
          </w:tcPr>
          <w:p>
            <w:r>
              <w:t>1.773</w:t>
            </w:r>
          </w:p>
        </w:tc>
        <w:tc>
          <w:tcPr>
            <w:tcW w:type="dxa" w:w="3135"/>
          </w:tcPr>
          <w:p>
            <w:r>
              <w:t>35,2%</w:t>
            </w:r>
          </w:p>
        </w:tc>
      </w:tr>
      <w:tr>
        <w:tc>
          <w:tcPr>
            <w:tcW w:type="dxa" w:w="3135"/>
          </w:tcPr>
          <w:p>
            <w:r>
              <w:t>eFST III–IV</w:t>
            </w:r>
          </w:p>
        </w:tc>
        <w:tc>
          <w:tcPr>
            <w:tcW w:type="dxa" w:w="3135"/>
          </w:tcPr>
          <w:p>
            <w:r>
              <w:t>2.161</w:t>
            </w:r>
          </w:p>
        </w:tc>
        <w:tc>
          <w:tcPr>
            <w:tcW w:type="dxa" w:w="3135"/>
          </w:tcPr>
          <w:p>
            <w:r>
              <w:t>42,9%</w:t>
            </w:r>
          </w:p>
        </w:tc>
      </w:tr>
      <w:tr>
        <w:tc>
          <w:tcPr>
            <w:tcW w:type="dxa" w:w="3135"/>
          </w:tcPr>
          <w:p>
            <w:r>
              <w:t>eFST V–VI</w:t>
            </w:r>
          </w:p>
        </w:tc>
        <w:tc>
          <w:tcPr>
            <w:tcW w:type="dxa" w:w="3135"/>
          </w:tcPr>
          <w:p>
            <w:r>
              <w:t>436</w:t>
            </w:r>
          </w:p>
        </w:tc>
        <w:tc>
          <w:tcPr>
            <w:tcW w:type="dxa" w:w="3135"/>
          </w:tcPr>
          <w:p>
            <w:r>
              <w:t>8,7%</w:t>
            </w:r>
          </w:p>
        </w:tc>
      </w:tr>
      <w:tr>
        <w:tc>
          <w:tcPr>
            <w:tcW w:type="dxa" w:w="3135"/>
          </w:tcPr>
          <w:p>
            <w:r>
              <w:t>eFST lipsă</w:t>
            </w:r>
          </w:p>
        </w:tc>
        <w:tc>
          <w:tcPr>
            <w:tcW w:type="dxa" w:w="3135"/>
          </w:tcPr>
          <w:p>
            <w:r>
              <w:t>663</w:t>
            </w:r>
          </w:p>
        </w:tc>
        <w:tc>
          <w:tcPr>
            <w:tcW w:type="dxa" w:w="3135"/>
          </w:tcPr>
          <w:p>
            <w:r>
              <w:t>13,2%</w:t>
            </w:r>
          </w:p>
        </w:tc>
      </w:tr>
      <w:tr>
        <w:tc>
          <w:tcPr>
            <w:tcW w:type="dxa" w:w="3135"/>
          </w:tcPr>
          <w:p>
            <w:r>
              <w:t>eMST 1–3 (adnotatori SUA)</w:t>
            </w:r>
          </w:p>
        </w:tc>
        <w:tc>
          <w:tcPr>
            <w:tcW w:type="dxa" w:w="3135"/>
          </w:tcPr>
          <w:p>
            <w:r>
              <w:t>3.502</w:t>
            </w:r>
          </w:p>
        </w:tc>
        <w:tc>
          <w:tcPr>
            <w:tcW w:type="dxa" w:w="3135"/>
          </w:tcPr>
          <w:p>
            <w:r>
              <w:t>69,6%</w:t>
            </w:r>
          </w:p>
        </w:tc>
      </w:tr>
      <w:tr>
        <w:tc>
          <w:tcPr>
            <w:tcW w:type="dxa" w:w="3135"/>
          </w:tcPr>
          <w:p>
            <w:r>
              <w:t>eMST 4–6 (adnotatori SUA)</w:t>
            </w:r>
          </w:p>
        </w:tc>
        <w:tc>
          <w:tcPr>
            <w:tcW w:type="dxa" w:w="3135"/>
          </w:tcPr>
          <w:p>
            <w:r>
              <w:t>1.296</w:t>
            </w:r>
          </w:p>
        </w:tc>
        <w:tc>
          <w:tcPr>
            <w:tcW w:type="dxa" w:w="3135"/>
          </w:tcPr>
          <w:p>
            <w:r>
              <w:t>25,8%</w:t>
            </w:r>
          </w:p>
        </w:tc>
      </w:tr>
      <w:tr>
        <w:tc>
          <w:tcPr>
            <w:tcW w:type="dxa" w:w="3135"/>
          </w:tcPr>
          <w:p>
            <w:r>
              <w:t>eMST 7–10 (adnotatori SUA)</w:t>
            </w:r>
          </w:p>
        </w:tc>
        <w:tc>
          <w:tcPr>
            <w:tcW w:type="dxa" w:w="3135"/>
          </w:tcPr>
          <w:p>
            <w:r>
              <w:t>207</w:t>
            </w:r>
          </w:p>
        </w:tc>
        <w:tc>
          <w:tcPr>
            <w:tcW w:type="dxa" w:w="3135"/>
          </w:tcPr>
          <w:p>
            <w:r>
              <w:t>4,1%</w:t>
            </w:r>
          </w:p>
        </w:tc>
      </w:tr>
    </w:tbl>
    <w:p>
      <w:pPr>
        <w:ind w:firstLine="709"/>
        <w:jc w:val="both"/>
      </w:pPr>
      <w:r>
        <w:t>Distribuția tonurilor de piele este dezechilibrată (Tabelul 5.1). Tonul Fitzpatrick estimat de dermatologi (eFST) a fost calculat ca mediana celor până la trei etichete disponibile pentru fiecare caz;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vor fundamenta alegerea setului final de clase. Împărțirea în seturi de antrenare, validare și testare se va face la nivel de caz (case_id), astfel încât imaginile aceluiași caz să nu apară în seturi diferite.</w:t>
      </w:r>
    </w:p>
    <w:p>
      <w:pPr>
        <w:pStyle w:val="Heading2"/>
      </w:pPr>
      <w:r>
        <w:t>5.2 Definirea categoriilor țintă de probleme ale pielii</w:t>
      </w:r>
    </w:p>
    <w:p>
      <w:pPr>
        <w:ind w:firstLine="709"/>
        <w:jc w:val="both"/>
      </w:pPr>
      <w:r>
        <w:t>Etichetele SCIN sunt peste 370 de denumiri diferențiale distincte, multe cu mai puțin de zece apariții, deci nepotrivite ca set de clase pentru un asistent informativ. Scriptul ml/labels/build_labels.py le grupează în cinci categorii țintă (acne, eczema_dermatitis, redness_rosacea, normal_other, excluded), pe baza unui dicționar explicit din ml/labels/label_map.yaml. Pentru fiecare case_id, ponderile denumirilor atribuite aceleiași categorii se însumează, iar categoria cu suma maximă devine eticheta principală dacă suma atinge un prag configurabil (0,40). Egalitățile și cazurile sub prag primesc eticheta excluded, la fel ca denumirile nemapate. Categoriile sunt grupări de probleme ale pielii, nu clasificări medicale.</w:t>
      </w:r>
    </w:p>
    <w:p>
      <w:pPr>
        <w:ind w:firstLine="709"/>
        <w:jc w:val="both"/>
      </w:pPr>
      <w:r>
        <w:t>Din 5.033 de cazuri, 144 au ca etichetă principală acne, 1.068 eczema_dermatitis, 44 redness_rosacea și 553 normal_other; 3.224 sunt excluse (dintre acestea, 1.972 nu au nicio etichetă ponderată). Categoria redness_rosacea are doar un caz în grupul eFST V–VI, iar acne 10 (Tabelul 5.2), deci analiza pe tonuri închise va avea intervale de încredere foarte largi pentru aceste categorii. Mapările din label_map.yaml sunt decizii ale autorului (de exemplu foliculita este inclusă în acne) și vor fi raportate ca limitare.</w:t>
      </w:r>
    </w:p>
    <w:p>
      <w:r>
        <w:rPr>
          <w:i/>
        </w:rPr>
        <w:t>Tabelul 5.2. Categorii țintă pe grupe eFST (SCIN, prag 0,40).</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Categorie</w:t>
            </w:r>
          </w:p>
        </w:tc>
        <w:tc>
          <w:tcPr>
            <w:tcW w:type="dxa" w:w="1568"/>
          </w:tcPr>
          <w:p>
            <w:r>
              <w:rPr>
                <w:b/>
              </w:rPr>
              <w:t>eFST I–II</w:t>
            </w:r>
          </w:p>
        </w:tc>
        <w:tc>
          <w:tcPr>
            <w:tcW w:type="dxa" w:w="1568"/>
          </w:tcPr>
          <w:p>
            <w:r>
              <w:rPr>
                <w:b/>
              </w:rPr>
              <w:t>eFST III–IV</w:t>
            </w:r>
          </w:p>
        </w:tc>
        <w:tc>
          <w:tcPr>
            <w:tcW w:type="dxa" w:w="1568"/>
          </w:tcPr>
          <w:p>
            <w:r>
              <w:rPr>
                <w:b/>
              </w:rPr>
              <w:t>eFST V–VI</w:t>
            </w:r>
          </w:p>
        </w:tc>
        <w:tc>
          <w:tcPr>
            <w:tcW w:type="dxa" w:w="1568"/>
          </w:tcPr>
          <w:p>
            <w:r>
              <w:rPr>
                <w:b/>
              </w:rPr>
              <w:t>eFST lipsă</w:t>
            </w:r>
          </w:p>
        </w:tc>
        <w:tc>
          <w:tcPr>
            <w:tcW w:type="dxa" w:w="1568"/>
          </w:tcPr>
          <w:p>
            <w:r>
              <w:rPr>
                <w:b/>
              </w:rPr>
              <w:t>Total</w:t>
            </w:r>
          </w:p>
        </w:tc>
      </w:tr>
      <w:tr>
        <w:tc>
          <w:tcPr>
            <w:tcW w:type="dxa" w:w="1568"/>
          </w:tcPr>
          <w:p>
            <w:r>
              <w:t>acne</w:t>
            </w:r>
          </w:p>
        </w:tc>
        <w:tc>
          <w:tcPr>
            <w:tcW w:type="dxa" w:w="1568"/>
          </w:tcPr>
          <w:p>
            <w:r>
              <w:t>55</w:t>
            </w:r>
          </w:p>
        </w:tc>
        <w:tc>
          <w:tcPr>
            <w:tcW w:type="dxa" w:w="1568"/>
          </w:tcPr>
          <w:p>
            <w:r>
              <w:t>77</w:t>
            </w:r>
          </w:p>
        </w:tc>
        <w:tc>
          <w:tcPr>
            <w:tcW w:type="dxa" w:w="1568"/>
          </w:tcPr>
          <w:p>
            <w:r>
              <w:t>10</w:t>
            </w:r>
          </w:p>
        </w:tc>
        <w:tc>
          <w:tcPr>
            <w:tcW w:type="dxa" w:w="1568"/>
          </w:tcPr>
          <w:p>
            <w:r>
              <w:t>2</w:t>
            </w:r>
          </w:p>
        </w:tc>
        <w:tc>
          <w:tcPr>
            <w:tcW w:type="dxa" w:w="1568"/>
          </w:tcPr>
          <w:p>
            <w:r>
              <w:t>144</w:t>
            </w:r>
          </w:p>
        </w:tc>
      </w:tr>
      <w:tr>
        <w:tc>
          <w:tcPr>
            <w:tcW w:type="dxa" w:w="1568"/>
          </w:tcPr>
          <w:p>
            <w:r>
              <w:t>eczema_dermatitis</w:t>
            </w:r>
          </w:p>
        </w:tc>
        <w:tc>
          <w:tcPr>
            <w:tcW w:type="dxa" w:w="1568"/>
          </w:tcPr>
          <w:p>
            <w:r>
              <w:t>478</w:t>
            </w:r>
          </w:p>
        </w:tc>
        <w:tc>
          <w:tcPr>
            <w:tcW w:type="dxa" w:w="1568"/>
          </w:tcPr>
          <w:p>
            <w:r>
              <w:t>460</w:t>
            </w:r>
          </w:p>
        </w:tc>
        <w:tc>
          <w:tcPr>
            <w:tcW w:type="dxa" w:w="1568"/>
          </w:tcPr>
          <w:p>
            <w:r>
              <w:t>89</w:t>
            </w:r>
          </w:p>
        </w:tc>
        <w:tc>
          <w:tcPr>
            <w:tcW w:type="dxa" w:w="1568"/>
          </w:tcPr>
          <w:p>
            <w:r>
              <w:t>41</w:t>
            </w:r>
          </w:p>
        </w:tc>
        <w:tc>
          <w:tcPr>
            <w:tcW w:type="dxa" w:w="1568"/>
          </w:tcPr>
          <w:p>
            <w:r>
              <w:t>1.068</w:t>
            </w:r>
          </w:p>
        </w:tc>
      </w:tr>
      <w:tr>
        <w:tc>
          <w:tcPr>
            <w:tcW w:type="dxa" w:w="1568"/>
          </w:tcPr>
          <w:p>
            <w:r>
              <w:t>redness_rosacea</w:t>
            </w:r>
          </w:p>
        </w:tc>
        <w:tc>
          <w:tcPr>
            <w:tcW w:type="dxa" w:w="1568"/>
          </w:tcPr>
          <w:p>
            <w:r>
              <w:t>30</w:t>
            </w:r>
          </w:p>
        </w:tc>
        <w:tc>
          <w:tcPr>
            <w:tcW w:type="dxa" w:w="1568"/>
          </w:tcPr>
          <w:p>
            <w:r>
              <w:t>11</w:t>
            </w:r>
          </w:p>
        </w:tc>
        <w:tc>
          <w:tcPr>
            <w:tcW w:type="dxa" w:w="1568"/>
          </w:tcPr>
          <w:p>
            <w:r>
              <w:t>1</w:t>
            </w:r>
          </w:p>
        </w:tc>
        <w:tc>
          <w:tcPr>
            <w:tcW w:type="dxa" w:w="1568"/>
          </w:tcPr>
          <w:p>
            <w:r>
              <w:t>2</w:t>
            </w:r>
          </w:p>
        </w:tc>
        <w:tc>
          <w:tcPr>
            <w:tcW w:type="dxa" w:w="1568"/>
          </w:tcPr>
          <w:p>
            <w:r>
              <w:t>44</w:t>
            </w:r>
          </w:p>
        </w:tc>
      </w:tr>
      <w:tr>
        <w:tc>
          <w:tcPr>
            <w:tcW w:type="dxa" w:w="1568"/>
          </w:tcPr>
          <w:p>
            <w:r>
              <w:t>normal_other</w:t>
            </w:r>
          </w:p>
        </w:tc>
        <w:tc>
          <w:tcPr>
            <w:tcW w:type="dxa" w:w="1568"/>
          </w:tcPr>
          <w:p>
            <w:r>
              <w:t>216</w:t>
            </w:r>
          </w:p>
        </w:tc>
        <w:tc>
          <w:tcPr>
            <w:tcW w:type="dxa" w:w="1568"/>
          </w:tcPr>
          <w:p>
            <w:r>
              <w:t>258</w:t>
            </w:r>
          </w:p>
        </w:tc>
        <w:tc>
          <w:tcPr>
            <w:tcW w:type="dxa" w:w="1568"/>
          </w:tcPr>
          <w:p>
            <w:r>
              <w:t>49</w:t>
            </w:r>
          </w:p>
        </w:tc>
        <w:tc>
          <w:tcPr>
            <w:tcW w:type="dxa" w:w="1568"/>
          </w:tcPr>
          <w:p>
            <w:r>
              <w:t>30</w:t>
            </w:r>
          </w:p>
        </w:tc>
        <w:tc>
          <w:tcPr>
            <w:tcW w:type="dxa" w:w="1568"/>
          </w:tcPr>
          <w:p>
            <w:r>
              <w:t>553</w:t>
            </w:r>
          </w:p>
        </w:tc>
      </w:tr>
      <w:tr>
        <w:tc>
          <w:tcPr>
            <w:tcW w:type="dxa" w:w="1568"/>
          </w:tcPr>
          <w:p>
            <w:r>
              <w:t>excluded</w:t>
            </w:r>
          </w:p>
        </w:tc>
        <w:tc>
          <w:tcPr>
            <w:tcW w:type="dxa" w:w="1568"/>
          </w:tcPr>
          <w:p>
            <w:r>
              <w:t>994</w:t>
            </w:r>
          </w:p>
        </w:tc>
        <w:tc>
          <w:tcPr>
            <w:tcW w:type="dxa" w:w="1568"/>
          </w:tcPr>
          <w:p>
            <w:r>
              <w:t>1.355</w:t>
            </w:r>
          </w:p>
        </w:tc>
        <w:tc>
          <w:tcPr>
            <w:tcW w:type="dxa" w:w="1568"/>
          </w:tcPr>
          <w:p>
            <w:r>
              <w:t>287</w:t>
            </w:r>
          </w:p>
        </w:tc>
        <w:tc>
          <w:tcPr>
            <w:tcW w:type="dxa" w:w="1568"/>
          </w:tcPr>
          <w:p>
            <w:r>
              <w:t>588</w:t>
            </w:r>
          </w:p>
        </w:tc>
        <w:tc>
          <w:tcPr>
            <w:tcW w:type="dxa" w:w="1568"/>
          </w:tcPr>
          <w:p>
            <w:r>
              <w:t>3.224</w:t>
            </w:r>
          </w:p>
        </w:tc>
      </w:tr>
    </w:tbl>
    <w:p>
      <w:pPr>
        <w:pStyle w:val="Heading2"/>
      </w:pPr>
      <w:r>
        <w:t>5.3 Scalele de ton al pielii și grupele folosite</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[3]. Din acestea am calculat eFST (estimated Fitzpatrick skin type, tip Fitzpatrick estimat) ca mediană a etichetelor disponibile, rotunjită în sus la jumătate. eFST este o estimare a unui evaluator pe baza unei fotografii, nu o măsurătoare a pielii, și este influențată de iluminare.</w:t>
      </w:r>
    </w:p>
    <w:p>
      <w:pPr>
        <w:ind w:firstLine="709"/>
        <w:jc w:val="both"/>
      </w:pPr>
      <w:r>
        <w:t>Deoarece tipurile individuale au prea puține cazuri (tipul VI are doar 68), le-am grupat în perechi: I–II (piele cea mai deschisă, 1.773 de cazuri), III–IV (piele medie, 2.161 de cazuri) și V–VI (piele cea mai închisă, 436 de cazuri); 663 de cazuri nu au nicio etichetă FST și formează grupa „lipsă”.</w:t>
      </w:r>
    </w:p>
    <w:p>
      <w:pPr>
        <w:ind w:firstLine="709"/>
        <w:jc w:val="both"/>
      </w:pPr>
      <w:r>
        <w:t>A doua scală, eMST (estimated Monk Skin Tone), folosește cele 10 trepte ale scalei Monk (https://skintone.google/) [6], atribuite de adnotatori. Am grupat-o în 1–3 (deschis), 4–6 (mediu) și 7–10 (închis). eMST nu este echivalentă cu eFST: cele două scale sunt măsuri diferite ale tonului pielii și sunt raportate separat.</w:t>
      </w:r>
    </w:p>
    <w:p>
      <w:pPr>
        <w:pStyle w:val="Heading1"/>
      </w:pPr>
      <w:r>
        <w:t>Bibliografie</w:t>
      </w:r>
    </w:p>
    <w:p>
      <w:pPr>
        <w:ind w:firstLine="0"/>
      </w:pPr>
      <w:r>
        <w:t>[1] Google Research, SCIN: Skin Condition Image Network, depozit GitHub. https://github.com/google-research-datasets/scin</w:t>
      </w:r>
    </w:p>
    <w:p>
      <w:pPr>
        <w:ind w:firstLine="0"/>
      </w:pPr>
      <w:r>
        <w:t>[2] Google Research, SCIN Data Use License. https://github.com/google-research-datasets/scin/blob/main/LICENSE</w:t>
      </w:r>
    </w:p>
    <w:p>
      <w:pPr>
        <w:ind w:firstLine="0"/>
      </w:pPr>
      <w:r>
        <w:t>[3] Google Research, documentația schemei setului de date SCIN. https://github.com/google-research-datasets/scin/blob/main/dataset_schema.md</w:t>
      </w:r>
    </w:p>
    <w:p>
      <w:pPr>
        <w:ind w:firstLine="0"/>
      </w:pPr>
      <w:r>
        <w:t>[4] Google Research Blog, SCIN: A new resource for representative dermatology images. https://research.google/blog/scin-a-new-resource-for-representative-dermatology-images/</w:t>
      </w:r>
    </w:p>
    <w:p>
      <w:pPr>
        <w:ind w:firstLine="0"/>
      </w:pPr>
      <w:r>
        <w:t>[5] Fitzpatrick, T. B., The validity and practicality of sun-reactive skin types I through VI, Archives of Dermatology 124(6), 1988, 869–871. https://doi.org/10.1001/archderm.1988.01670060015008</w:t>
      </w:r>
    </w:p>
    <w:p>
      <w:pPr>
        <w:ind w:firstLine="0"/>
      </w:pPr>
      <w:r>
        <w:t>[6] Google Research, Monk Skin Tone Scale. https://skintone.google/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