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b/>
          <w:i w:val="0"/>
          <w:sz w:val="32"/>
        </w:rPr>
        <w:t>UNIVERSITATEA DIN CRAIOVA</w:t>
      </w:r>
    </w:p>
    <w:p>
      <w:pPr>
        <w:spacing w:before="80" w:after="0" w:line="276" w:lineRule="auto"/>
        <w:jc w:val="center"/>
      </w:pPr>
      <w:r>
        <w:rPr>
          <w:b/>
          <w:i w:val="0"/>
          <w:sz w:val="26"/>
        </w:rPr>
        <w:t>FACULTATEA DE AUTOMATICĂ, CALCULATOARE ȘI ELECTRONICĂ</w:t>
      </w:r>
    </w:p>
    <w:p>
      <w:pPr>
        <w:spacing w:before="80" w:after="0" w:line="276" w:lineRule="auto"/>
        <w:jc w:val="center"/>
      </w:pPr>
      <w:r>
        <w:rPr>
          <w:b w:val="0"/>
          <w:i w:val="0"/>
          <w:sz w:val="26"/>
        </w:rPr>
        <w:t>Specializarea: Calculatoare</w:t>
      </w:r>
    </w:p>
    <w:p>
      <w:pPr>
        <w:spacing w:before="2600" w:after="600" w:line="276" w:lineRule="auto"/>
        <w:jc w:val="center"/>
      </w:pPr>
      <w:r>
        <w:rPr>
          <w:b/>
          <w:i w:val="0"/>
          <w:sz w:val="44"/>
        </w:rPr>
        <w:t>LUCRARE DE LICENȚĂ</w:t>
      </w:r>
    </w:p>
    <w:p>
      <w:pPr>
        <w:spacing w:before="0" w:after="0" w:line="276" w:lineRule="auto"/>
        <w:jc w:val="center"/>
      </w:pPr>
      <w:r>
        <w:rPr>
          <w:b/>
          <w:i w:val="0"/>
          <w:sz w:val="40"/>
        </w:rPr>
        <w:t>Companion pentru îngrijirea pielii asistat de inteligență artificială</w:t>
      </w:r>
    </w:p>
    <w:p>
      <w:pPr>
        <w:spacing w:before="3000" w:after="0" w:line="276" w:lineRule="auto"/>
        <w:jc w:val="center"/>
      </w:pPr>
      <w:r>
        <w:rPr>
          <w:b w:val="0"/>
          <w:i w:val="0"/>
          <w:sz w:val="24"/>
        </w:rPr>
      </w:r>
    </w:p>
    <w:tbl>
      <w:tblPr>
        <w:tblW w:type="auto" w:w="0"/>
        <w:jc w:val="center"/>
        <w:tblLayout w:type="fixed"/>
        <w:tblLook w:firstColumn="1" w:firstRow="1" w:lastColumn="0" w:lastRow="0" w:noHBand="0" w:noVBand="1" w:val="04A0"/>
      </w:tblPr>
      <w:tblGrid>
        <w:gridCol w:w="4535"/>
        <w:gridCol w:w="4535"/>
      </w:tblGrid>
      <w:tr>
        <w:tc>
          <w:tcPr>
            <w:tcW w:type="dxa" w:w="4535"/>
          </w:tcPr>
          <w:p>
            <w:pPr>
              <w:spacing w:before="0"/>
              <w:jc w:val="left"/>
            </w:pPr>
            <w:r>
              <w:rPr>
                <w:i/>
              </w:rPr>
              <w:t>Coordonator științific:</w:t>
            </w:r>
          </w:p>
          <w:p>
            <w:pPr>
              <w:jc w:val="left"/>
            </w:pPr>
            <w:r>
              <w:rPr>
                <w:b/>
              </w:rPr>
              <w:t>Stefan Popescu</w:t>
            </w:r>
          </w:p>
        </w:tc>
        <w:tc>
          <w:tcPr>
            <w:tcW w:type="dxa" w:w="4535"/>
          </w:tcPr>
          <w:p>
            <w:pPr>
              <w:spacing w:before="0"/>
              <w:jc w:val="right"/>
            </w:pPr>
            <w:r>
              <w:rPr>
                <w:i/>
              </w:rPr>
              <w:t>Absolvent:</w:t>
            </w:r>
          </w:p>
          <w:p>
            <w:pPr>
              <w:jc w:val="right"/>
            </w:pPr>
            <w:r>
              <w:rPr>
                <w:b/>
              </w:rPr>
              <w:t>Daria Giotina</w:t>
            </w:r>
          </w:p>
        </w:tc>
      </w:tr>
    </w:tbl>
    <w:p>
      <w:pPr>
        <w:spacing w:before="3000" w:after="0" w:line="276" w:lineRule="auto"/>
        <w:jc w:val="center"/>
      </w:pPr>
      <w:r>
        <w:rPr>
          <w:b/>
          <w:i w:val="0"/>
          <w:sz w:val="26"/>
        </w:rPr>
        <w:t>Craiova, 2027</w:t>
      </w:r>
    </w:p>
    <w:p>
      <w:pPr>
        <w:pStyle w:val="FrontHeading"/>
      </w:pPr>
      <w:r>
        <w:t>Declarație de autenticitate</w:t>
      </w:r>
    </w:p>
    <w:p>
      <w:pPr>
        <w:ind w:firstLine="709"/>
        <w:jc w:val="both"/>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pPr>
        <w:spacing w:before="720"/>
      </w:pPr>
      <w:r>
        <w:t>Data: ____________________</w:t>
        <w:tab/>
        <w:tab/>
        <w:tab/>
        <w:t>Semnătura: ____________________</w:t>
      </w:r>
    </w:p>
    <w:p>
      <w:pPr>
        <w:sectPr>
          <w:footerReference w:type="default" r:id="rId9"/>
          <w:headerReference w:type="default" r:id="rId10"/>
          <w:pgSz w:w="11906" w:h="16838"/>
          <w:pgMar w:top="1417" w:right="1134" w:bottom="1417" w:left="1701" w:header="709" w:footer="709" w:gutter="0"/>
          <w:cols w:space="720"/>
          <w:docGrid w:linePitch="360"/>
        </w:sectPr>
      </w:pPr>
    </w:p>
    <w:p>
      <w:pPr>
        <w:pStyle w:val="FrontHeading"/>
      </w:pPr>
      <w:r>
        <w:t>Rezumat</w:t>
      </w:r>
    </w:p>
    <w:p>
      <w:pPr>
        <w:jc w:val="both"/>
      </w:pPr>
      <w:r>
        <w:rPr>
          <w:highlight w:val="yellow"/>
        </w:rPr>
        <w:t>[De redactat la finalizarea lucrării.]</w:t>
      </w:r>
    </w:p>
    <w:p>
      <w:pPr>
        <w:jc w:val="both"/>
      </w:pPr>
      <w:r>
        <w:rPr>
          <w:i/>
        </w:rPr>
        <w:t>Cuvinte-cheie:</w:t>
      </w:r>
      <w:r>
        <w:t xml:space="preserve"> învățare automată, clasificarea problemelor pielii, fuziune multimodală, valori lipsă, echitate, tonuri de piele, aplicație mobilă.</w:t>
      </w:r>
    </w:p>
    <w:p>
      <w:pPr>
        <w:pStyle w:val="FrontHeading"/>
      </w:pPr>
      <w:r>
        <w:t>Abstract</w:t>
      </w:r>
    </w:p>
    <w:p>
      <w:pPr>
        <w:jc w:val="both"/>
      </w:pPr>
      <w:r>
        <w:rPr>
          <w:highlight w:val="yellow"/>
        </w:rPr>
        <w:t>[To be written when the thesis is complete.]</w:t>
      </w:r>
    </w:p>
    <w:p>
      <w:pPr>
        <w:jc w:val="both"/>
      </w:pPr>
      <w:r>
        <w:rPr>
          <w:i/>
        </w:rPr>
        <w:t>Keywords:</w:t>
      </w:r>
      <w:r>
        <w:t xml:space="preserve"> machine learning, skin-concern classification, multimodal fusion, missing data, fairness, skin tone, mobile application.</w:t>
      </w:r>
    </w:p>
    <w:p>
      <w:pPr>
        <w:pStyle w:val="FrontHeading"/>
      </w:pPr>
      <w:r>
        <w:t>Cuprins</w:t>
      </w:r>
    </w:p>
    <w:p>
      <w:pPr>
        <w:pStyle w:val="toc1"/>
      </w:pPr>
      <w:r>
        <w:fldChar w:fldCharType="begin"/>
      </w:r>
      <w:r>
        <w:instrText xml:space="preserve"> TOC \o "1-3" \h \z \u </w:instrText>
      </w:r>
      <w:r>
        <w:fldChar w:fldCharType="separate"/>
      </w:r>
      <w:r>
        <w:t>Capitolul 1. Introducere</w:t>
        <w:tab/>
        <w:t>1</w:t>
      </w:r>
    </w:p>
    <w:p>
      <w:pPr>
        <w:pStyle w:val="toc2"/>
      </w:pPr>
      <w:r>
        <w:t>1.1 Motivație</w:t>
        <w:tab/>
        <w:t>1</w:t>
      </w:r>
    </w:p>
    <w:p>
      <w:pPr>
        <w:pStyle w:val="toc2"/>
      </w:pPr>
      <w:r>
        <w:t>1.2 Formularea problemei</w:t>
        <w:tab/>
        <w:t>1</w:t>
      </w:r>
    </w:p>
    <w:p>
      <w:pPr>
        <w:pStyle w:val="toc2"/>
      </w:pPr>
      <w:r>
        <w:t>1.3 Obiective</w:t>
        <w:tab/>
        <w:t>2</w:t>
      </w:r>
    </w:p>
    <w:p>
      <w:pPr>
        <w:pStyle w:val="toc2"/>
      </w:pPr>
      <w:r>
        <w:t>1.4 Contribuții</w:t>
        <w:tab/>
        <w:t>2</w:t>
      </w:r>
    </w:p>
    <w:p>
      <w:pPr>
        <w:pStyle w:val="toc2"/>
      </w:pPr>
      <w:r>
        <w:t>1.5 Structura lucrării</w:t>
        <w:tab/>
        <w:t>2</w:t>
      </w:r>
    </w:p>
    <w:p>
      <w:pPr>
        <w:pStyle w:val="toc1"/>
      </w:pPr>
      <w:r>
        <w:t>Capitolul 2. Fundamente teoretice și lucrări conexe</w:t>
        <w:tab/>
        <w:t>3</w:t>
      </w:r>
    </w:p>
    <w:p>
      <w:pPr>
        <w:pStyle w:val="toc1"/>
      </w:pPr>
      <w:r>
        <w:t>Capitolul 3. Cerințe</w:t>
        <w:tab/>
        <w:t>4</w:t>
      </w:r>
    </w:p>
    <w:p>
      <w:pPr>
        <w:pStyle w:val="toc1"/>
      </w:pPr>
      <w:r>
        <w:t>Capitolul 4. Proiectarea sistemului și arhitectura</w:t>
        <w:tab/>
        <w:t>5</w:t>
      </w:r>
    </w:p>
    <w:p>
      <w:pPr>
        <w:pStyle w:val="toc1"/>
      </w:pPr>
      <w:r>
        <w:t>Capitolul 5. Metodologia AI/ML</w:t>
        <w:tab/>
        <w:t>6</w:t>
      </w:r>
    </w:p>
    <w:p>
      <w:pPr>
        <w:pStyle w:val="toc2"/>
      </w:pPr>
      <w:r>
        <w:t>5.1 Setul de date SCIN: obținere și licență</w:t>
        <w:tab/>
        <w:t>6</w:t>
      </w:r>
    </w:p>
    <w:p>
      <w:pPr>
        <w:pStyle w:val="toc2"/>
      </w:pPr>
      <w:r>
        <w:t>5.2 Scalele de ton al pielii și grupele folosite</w:t>
        <w:tab/>
        <w:t>7</w:t>
      </w:r>
    </w:p>
    <w:p>
      <w:pPr>
        <w:pStyle w:val="toc2"/>
      </w:pPr>
      <w:r>
        <w:t>5.3 Auditul metadatelor SCIN</w:t>
        <w:tab/>
        <w:t>7</w:t>
      </w:r>
    </w:p>
    <w:p>
      <w:pPr>
        <w:pStyle w:val="toc3"/>
      </w:pPr>
      <w:r>
        <w:t>5.3.1 Procedura de audit</w:t>
        <w:tab/>
        <w:t>7</w:t>
      </w:r>
    </w:p>
    <w:p>
      <w:pPr>
        <w:pStyle w:val="toc3"/>
      </w:pPr>
      <w:r>
        <w:t>5.3.2 Dimensiunea setului și integritatea cheii</w:t>
        <w:tab/>
        <w:t>8</w:t>
      </w:r>
    </w:p>
    <w:p>
      <w:pPr>
        <w:pStyle w:val="toc3"/>
      </w:pPr>
      <w:r>
        <w:t>5.3.3 Lipsa răspunsurilor auto-declarate</w:t>
        <w:tab/>
        <w:t>8</w:t>
      </w:r>
    </w:p>
    <w:p>
      <w:pPr>
        <w:pStyle w:val="toc3"/>
      </w:pPr>
      <w:r>
        <w:t>5.3.4 Distribuția tonurilor de piele</w:t>
        <w:tab/>
        <w:t>8</w:t>
      </w:r>
    </w:p>
    <w:p>
      <w:pPr>
        <w:pStyle w:val="toc3"/>
      </w:pPr>
      <w:r>
        <w:t>5.3.5 Etichetele dermatologilor</w:t>
        <w:tab/>
        <w:t>9</w:t>
      </w:r>
    </w:p>
    <w:p>
      <w:pPr>
        <w:pStyle w:val="toc2"/>
      </w:pPr>
      <w:r>
        <w:t>5.4 Definirea categoriilor țintă de probleme ale pielii</w:t>
        <w:tab/>
        <w:t>9</w:t>
      </w:r>
    </w:p>
    <w:p>
      <w:pPr>
        <w:pStyle w:val="toc2"/>
      </w:pPr>
      <w:r>
        <w:t>5.5 Codificarea chestionarului și masca de valori lipsă</w:t>
        <w:tab/>
        <w:t>10</w:t>
      </w:r>
    </w:p>
    <w:p>
      <w:pPr>
        <w:pStyle w:val="toc2"/>
      </w:pPr>
      <w:r>
        <w:t>5.6 Împărțirea pe cazuri în seturi de antrenare, validare și testare</w:t>
        <w:tab/>
        <w:t>11</w:t>
      </w:r>
    </w:p>
    <w:p>
      <w:pPr>
        <w:pStyle w:val="toc2"/>
      </w:pPr>
      <w:r>
        <w:t>5.7 Încărcarea datelor, selecția imaginilor și augmentarea</w:t>
        <w:tab/>
        <w:t>12</w:t>
      </w:r>
    </w:p>
    <w:p>
      <w:pPr>
        <w:pStyle w:val="toc2"/>
      </w:pPr>
      <w:r>
        <w:t>5.8 Modelul și fuziunea multimodală</w:t>
        <w:tab/>
        <w:t>12</w:t>
      </w:r>
    </w:p>
    <w:p>
      <w:pPr>
        <w:pStyle w:val="toc2"/>
      </w:pPr>
      <w:r>
        <w:t>5.9 Explicabilitate (Grad-CAM)</w:t>
        <w:tab/>
        <w:t>12</w:t>
      </w:r>
    </w:p>
    <w:p>
      <w:pPr>
        <w:pStyle w:val="toc2"/>
      </w:pPr>
      <w:r>
        <w:t>5.10 Protocolul de evaluare</w:t>
        <w:tab/>
        <w:t>12</w:t>
      </w:r>
    </w:p>
    <w:p>
      <w:pPr>
        <w:pStyle w:val="toc2"/>
      </w:pPr>
      <w:r>
        <w:t>5.11 Evaluarea externă și sonda liniară</w:t>
        <w:tab/>
        <w:t>13</w:t>
      </w:r>
    </w:p>
    <w:p>
      <w:pPr>
        <w:pStyle w:val="toc1"/>
      </w:pPr>
      <w:r>
        <w:t>Capitolul 6. Implementare</w:t>
        <w:tab/>
        <w:t>13</w:t>
      </w:r>
    </w:p>
    <w:p>
      <w:pPr>
        <w:pStyle w:val="toc1"/>
      </w:pPr>
      <w:r>
        <w:t>Capitolul 7. Securitate și GDPR</w:t>
        <w:tab/>
        <w:t>14</w:t>
      </w:r>
    </w:p>
    <w:p>
      <w:pPr>
        <w:pStyle w:val="toc1"/>
      </w:pPr>
      <w:r>
        <w:t>Capitolul 8. Testare și evaluare</w:t>
        <w:tab/>
        <w:t>15</w:t>
      </w:r>
    </w:p>
    <w:p>
      <w:pPr>
        <w:pStyle w:val="toc1"/>
      </w:pPr>
      <w:r>
        <w:t>Capitolul 9. Concluzii și direcții viitoare</w:t>
        <w:tab/>
        <w:t>16</w:t>
      </w:r>
    </w:p>
    <w:p>
      <w:pPr>
        <w:pStyle w:val="toc1"/>
      </w:pPr>
      <w:r>
        <w:t>Anexe</w:t>
        <w:tab/>
        <w:t>17</w:t>
      </w:r>
    </w:p>
    <w:p>
      <w:pPr>
        <w:pStyle w:val="toc1"/>
      </w:pPr>
      <w:r>
        <w:t>Bibliografie</w:t>
        <w:tab/>
        <w:t>18</w:t>
      </w:r>
    </w:p>
    <w:p>
      <w:pPr>
        <w:spacing w:after="0"/>
      </w:pPr>
      <w:r>
        <w:fldChar w:fldCharType="end"/>
      </w:r>
    </w:p>
    <w:p>
      <w:pPr>
        <w:pStyle w:val="FrontHeading"/>
      </w:pPr>
      <w:r>
        <w:t>Lista tabelelor</w:t>
      </w:r>
    </w:p>
    <w:p>
      <w:pPr>
        <w:pStyle w:val="tableoffigures"/>
      </w:pPr>
      <w:r>
        <w:fldChar w:fldCharType="begin"/>
      </w:r>
      <w:r>
        <w:instrText xml:space="preserve"> TOC \h \z \c "Tabelul" </w:instrText>
      </w:r>
      <w:r>
        <w:fldChar w:fldCharType="separate"/>
      </w:r>
      <w:r>
        <w:t>Tabelul 5.1. Distribuția tonurilor de piele estimate în SCIN (N = 5.033 cazuri).</w:t>
        <w:tab/>
        <w:t>8</w:t>
      </w:r>
    </w:p>
    <w:p>
      <w:pPr>
        <w:pStyle w:val="tableoffigures"/>
      </w:pPr>
      <w:r>
        <w:t>Tabelul 5.2. Categorii țintă pe grupe eFST (SCIN, prag 0,40).</w:t>
        <w:tab/>
        <w:t>10</w:t>
      </w:r>
    </w:p>
    <w:p>
      <w:pPr>
        <w:spacing w:after="0"/>
      </w:pPr>
      <w:r>
        <w:fldChar w:fldCharType="end"/>
      </w:r>
    </w:p>
    <w:p>
      <w:pPr>
        <w:pStyle w:val="FrontHeading"/>
      </w:pPr>
      <w:r>
        <w:t>Lista de abrevieri</w:t>
      </w:r>
    </w:p>
    <w:tbl>
      <w:tblPr>
        <w:tblW w:type="auto" w:w="0"/>
        <w:tblLayout w:type="fixed"/>
        <w:tblLook w:firstColumn="1" w:firstRow="1" w:lastColumn="0" w:lastRow="0" w:noHBand="0" w:noVBand="1" w:val="04A0"/>
      </w:tblPr>
      <w:tblGrid>
        <w:gridCol w:w="1701"/>
        <w:gridCol w:w="7370"/>
      </w:tblGrid>
      <w:tr>
        <w:tc>
          <w:tcPr>
            <w:tcW w:type="dxa" w:w="1701"/>
          </w:tcPr>
          <w:p>
            <w:pPr>
              <w:spacing w:after="80"/>
              <w:jc w:val="left"/>
            </w:pPr>
            <w:r>
              <w:rPr>
                <w:b/>
              </w:rPr>
              <w:t>AI</w:t>
            </w:r>
          </w:p>
        </w:tc>
        <w:tc>
          <w:tcPr>
            <w:tcW w:type="dxa" w:w="7370"/>
          </w:tcPr>
          <w:p>
            <w:pPr>
              <w:spacing w:after="80"/>
              <w:jc w:val="left"/>
            </w:pPr>
            <w:r>
              <w:t>Artificial Intelligence (inteligență artificială)</w:t>
            </w:r>
          </w:p>
        </w:tc>
      </w:tr>
      <w:tr>
        <w:tc>
          <w:tcPr>
            <w:tcW w:type="dxa" w:w="1701"/>
          </w:tcPr>
          <w:p>
            <w:pPr>
              <w:spacing w:after="80"/>
              <w:jc w:val="left"/>
            </w:pPr>
            <w:r>
              <w:rPr>
                <w:b/>
              </w:rPr>
              <w:t>API</w:t>
            </w:r>
          </w:p>
        </w:tc>
        <w:tc>
          <w:tcPr>
            <w:tcW w:type="dxa" w:w="7370"/>
          </w:tcPr>
          <w:p>
            <w:pPr>
              <w:spacing w:after="80"/>
              <w:jc w:val="left"/>
            </w:pPr>
            <w:r>
              <w:t>Application Programming Interface (interfață de programare a aplicațiilor)</w:t>
            </w:r>
          </w:p>
        </w:tc>
      </w:tr>
      <w:tr>
        <w:tc>
          <w:tcPr>
            <w:tcW w:type="dxa" w:w="1701"/>
          </w:tcPr>
          <w:p>
            <w:pPr>
              <w:spacing w:after="80"/>
              <w:jc w:val="left"/>
            </w:pPr>
            <w:r>
              <w:rPr>
                <w:b/>
              </w:rPr>
              <w:t>CSV</w:t>
            </w:r>
          </w:p>
        </w:tc>
        <w:tc>
          <w:tcPr>
            <w:tcW w:type="dxa" w:w="7370"/>
          </w:tcPr>
          <w:p>
            <w:pPr>
              <w:spacing w:after="80"/>
              <w:jc w:val="left"/>
            </w:pPr>
            <w:r>
              <w:t>Comma-Separated Values (valori separate prin virgulă)</w:t>
            </w:r>
          </w:p>
        </w:tc>
      </w:tr>
      <w:tr>
        <w:tc>
          <w:tcPr>
            <w:tcW w:type="dxa" w:w="1701"/>
          </w:tcPr>
          <w:p>
            <w:pPr>
              <w:spacing w:after="80"/>
              <w:jc w:val="left"/>
            </w:pPr>
            <w:r>
              <w:rPr>
                <w:b/>
              </w:rPr>
              <w:t>eFST</w:t>
            </w:r>
          </w:p>
        </w:tc>
        <w:tc>
          <w:tcPr>
            <w:tcW w:type="dxa" w:w="7370"/>
          </w:tcPr>
          <w:p>
            <w:pPr>
              <w:spacing w:after="80"/>
              <w:jc w:val="left"/>
            </w:pPr>
            <w:r>
              <w:t>Estimated Fitzpatrick Skin Type (tip Fitzpatrick estimat de dermatologi pe baza fotografiilor)</w:t>
            </w:r>
          </w:p>
        </w:tc>
      </w:tr>
      <w:tr>
        <w:tc>
          <w:tcPr>
            <w:tcW w:type="dxa" w:w="1701"/>
          </w:tcPr>
          <w:p>
            <w:pPr>
              <w:spacing w:after="80"/>
              <w:jc w:val="left"/>
            </w:pPr>
            <w:r>
              <w:rPr>
                <w:b/>
              </w:rPr>
              <w:t>eMST</w:t>
            </w:r>
          </w:p>
        </w:tc>
        <w:tc>
          <w:tcPr>
            <w:tcW w:type="dxa" w:w="7370"/>
          </w:tcPr>
          <w:p>
            <w:pPr>
              <w:spacing w:after="80"/>
              <w:jc w:val="left"/>
            </w:pPr>
            <w:r>
              <w:t>Estimated Monk Skin Tone (ton Monk estimat de adnotatori)</w:t>
            </w:r>
          </w:p>
        </w:tc>
      </w:tr>
      <w:tr>
        <w:tc>
          <w:tcPr>
            <w:tcW w:type="dxa" w:w="1701"/>
          </w:tcPr>
          <w:p>
            <w:pPr>
              <w:spacing w:after="80"/>
              <w:jc w:val="left"/>
            </w:pPr>
            <w:r>
              <w:rPr>
                <w:b/>
              </w:rPr>
              <w:t>FST</w:t>
            </w:r>
          </w:p>
        </w:tc>
        <w:tc>
          <w:tcPr>
            <w:tcW w:type="dxa" w:w="7370"/>
          </w:tcPr>
          <w:p>
            <w:pPr>
              <w:spacing w:after="80"/>
              <w:jc w:val="left"/>
            </w:pPr>
            <w:r>
              <w:t>Fitzpatrick Skin Type (tip de piele Fitzpatrick)</w:t>
            </w:r>
          </w:p>
        </w:tc>
      </w:tr>
      <w:tr>
        <w:tc>
          <w:tcPr>
            <w:tcW w:type="dxa" w:w="1701"/>
          </w:tcPr>
          <w:p>
            <w:pPr>
              <w:spacing w:after="80"/>
              <w:jc w:val="left"/>
            </w:pPr>
            <w:r>
              <w:rPr>
                <w:b/>
              </w:rPr>
              <w:t>GDPR</w:t>
            </w:r>
          </w:p>
        </w:tc>
        <w:tc>
          <w:tcPr>
            <w:tcW w:type="dxa" w:w="7370"/>
          </w:tcPr>
          <w:p>
            <w:pPr>
              <w:spacing w:after="80"/>
              <w:jc w:val="left"/>
            </w:pPr>
            <w:r>
              <w:t>General Data Protection Regulation (Regulamentul general privind protecția datelor)</w:t>
            </w:r>
          </w:p>
        </w:tc>
      </w:tr>
      <w:tr>
        <w:tc>
          <w:tcPr>
            <w:tcW w:type="dxa" w:w="1701"/>
          </w:tcPr>
          <w:p>
            <w:pPr>
              <w:spacing w:after="80"/>
              <w:jc w:val="left"/>
            </w:pPr>
            <w:r>
              <w:rPr>
                <w:b/>
              </w:rPr>
              <w:t>ML</w:t>
            </w:r>
          </w:p>
        </w:tc>
        <w:tc>
          <w:tcPr>
            <w:tcW w:type="dxa" w:w="7370"/>
          </w:tcPr>
          <w:p>
            <w:pPr>
              <w:spacing w:after="80"/>
              <w:jc w:val="left"/>
            </w:pPr>
            <w:r>
              <w:t>Machine Learning (învățare automată)</w:t>
            </w:r>
          </w:p>
        </w:tc>
      </w:tr>
      <w:tr>
        <w:tc>
          <w:tcPr>
            <w:tcW w:type="dxa" w:w="1701"/>
          </w:tcPr>
          <w:p>
            <w:pPr>
              <w:spacing w:after="80"/>
              <w:jc w:val="left"/>
            </w:pPr>
            <w:r>
              <w:rPr>
                <w:b/>
              </w:rPr>
              <w:t>SCIN</w:t>
            </w:r>
          </w:p>
        </w:tc>
        <w:tc>
          <w:tcPr>
            <w:tcW w:type="dxa" w:w="7370"/>
          </w:tcPr>
          <w:p>
            <w:pPr>
              <w:spacing w:after="80"/>
              <w:jc w:val="left"/>
            </w:pPr>
            <w:r>
              <w:t>Skin Condition Image Network (set de date publicat de Google Research)</w:t>
            </w:r>
          </w:p>
        </w:tc>
      </w:tr>
    </w:tbl>
    <w:p>
      <w:pPr>
        <w:sectPr>
          <w:footerReference w:type="default" r:id="rId11"/>
          <w:headerReference w:type="default" r:id="rId12"/>
          <w:pgSz w:w="11906" w:h="16838"/>
          <w:pgMar w:top="1417" w:right="1134" w:bottom="1417" w:left="1701" w:header="709" w:footer="709" w:gutter="0"/>
          <w:pgNumType w:fmt="lowerRoman" w:start="1"/>
          <w:cols w:space="720"/>
          <w:docGrid w:linePitch="360"/>
        </w:sectPr>
      </w:pPr>
    </w:p>
    <w:p>
      <w:pPr>
        <w:pStyle w:val="Heading1"/>
      </w:pPr>
      <w:r>
        <w:t>Capitolul 1. Introducere</w:t>
      </w:r>
    </w:p>
    <w:p>
      <w:pPr>
        <w:pStyle w:val="Heading2"/>
      </w:pPr>
      <w:r>
        <w:t>1.1 Motivație</w:t>
      </w:r>
    </w:p>
    <w:p>
      <w:pPr>
        <w:ind w:firstLine="709"/>
        <w:jc w:val="both"/>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pPr>
        <w:pStyle w:val="Heading2"/>
      </w:pPr>
      <w:r>
        <w:t>1.2 Formularea problemei</w:t>
      </w:r>
    </w:p>
    <w:p>
      <w:pPr>
        <w:ind w:firstLine="709"/>
        <w:jc w:val="both"/>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pPr>
        <w:ind w:firstLine="709"/>
        <w:jc w:val="both"/>
      </w:pPr>
      <w:r>
        <w:t xml:space="preserve">O a doua problemă, de natură etică și tehnică, este reprezentarea inegală a tonurilor de piele în seturile de date folosite pentru antrenare. Mai multe studii arată că tonurile închise sunt subreprezentate, ceea ce poate duce la performanțe diferite între grupuri </w:t>
      </w:r>
      <w:r>
        <w:rPr>
          <w:highlight w:val="yellow"/>
        </w:rPr>
        <w:t>[CITE]</w:t>
      </w:r>
      <w:r>
        <w:t xml:space="preserv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5.2) </w:t>
      </w:r>
      <w:r>
        <w:rPr>
          <w:highlight w:val="yellow"/>
        </w:rPr>
        <w:t>[CITE]</w:t>
      </w:r>
      <w:r>
        <w:t>.</w:t>
      </w:r>
    </w:p>
    <w:p>
      <w:pPr>
        <w:ind w:firstLine="709"/>
        <w:jc w:val="both"/>
      </w:pPr>
      <w:r>
        <w:t>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parțial sau total și dacă efectul este consistent pentru toate tonurile de piele. Răspunsul la aceste întrebări stă la baza obiectivelor și a contribuțiilor prezentate în secțiunile următoare.</w:t>
      </w:r>
    </w:p>
    <w:p>
      <w:pPr>
        <w:pStyle w:val="Heading2"/>
      </w:pPr>
      <w:r>
        <w:t>1.3 Obiective</w:t>
      </w:r>
    </w:p>
    <w:p>
      <w:pPr>
        <w:jc w:val="both"/>
      </w:pPr>
      <w:r>
        <w:rPr>
          <w:highlight w:val="yellow"/>
        </w:rPr>
        <w:t>[De redactat.]</w:t>
      </w:r>
    </w:p>
    <w:p>
      <w:pPr>
        <w:pStyle w:val="Heading2"/>
      </w:pPr>
      <w:r>
        <w:t>1.4 Contribuții</w:t>
      </w:r>
    </w:p>
    <w:p>
      <w:pPr>
        <w:jc w:val="both"/>
      </w:pPr>
      <w:r>
        <w:rPr>
          <w:highlight w:val="yellow"/>
        </w:rPr>
        <w:t>[De redactat după obținerea rezultatelor.]</w:t>
      </w:r>
    </w:p>
    <w:p>
      <w:pPr>
        <w:pStyle w:val="Heading2"/>
      </w:pPr>
      <w:r>
        <w:t>1.5 Structura lucrării</w:t>
      </w:r>
    </w:p>
    <w:p>
      <w:pPr>
        <w:ind w:firstLine="709"/>
        <w:jc w:val="both"/>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pPr>
        <w:pStyle w:val="Heading1"/>
      </w:pPr>
      <w:r>
        <w:t>Capitolul 2. Fundamente teoretice și lucrări conexe</w:t>
      </w:r>
    </w:p>
    <w:p>
      <w:pPr>
        <w:jc w:val="both"/>
      </w:pPr>
      <w:r>
        <w:rPr>
          <w:highlight w:val="yellow"/>
        </w:rPr>
        <w:t>[De redactat: analiza pielii prin învățare automată, baze de date de ingrediente, aplicații existente.]</w:t>
      </w:r>
    </w:p>
    <w:p>
      <w:pPr>
        <w:pStyle w:val="Heading1"/>
      </w:pPr>
      <w:r>
        <w:t>Capitolul 3. Cerințe</w:t>
      </w:r>
    </w:p>
    <w:p>
      <w:pPr>
        <w:jc w:val="both"/>
      </w:pPr>
      <w:r>
        <w:rPr>
          <w:highlight w:val="yellow"/>
        </w:rPr>
        <w:t>[De redactat: cerințe funcționale și non-funcționale (securitate, confidențialitate, performanță).]</w:t>
      </w:r>
    </w:p>
    <w:p>
      <w:pPr>
        <w:pStyle w:val="Heading1"/>
      </w:pPr>
      <w:r>
        <w:t>Capitolul 4. Proiectarea sistemului și arhitectura</w:t>
      </w:r>
    </w:p>
    <w:p>
      <w:pPr>
        <w:jc w:val="both"/>
      </w:pPr>
      <w:r>
        <w:rPr>
          <w:highlight w:val="yellow"/>
        </w:rPr>
        <w:t>[De redactat: diagrame, modelul de date MongoDB, proiectarea API-ului.]</w:t>
      </w:r>
    </w:p>
    <w:p>
      <w:pPr>
        <w:pStyle w:val="Heading1"/>
      </w:pPr>
      <w:r>
        <w:t>Capitolul 5. Metodologia AI/ML</w:t>
      </w:r>
    </w:p>
    <w:p>
      <w:pPr>
        <w:ind w:firstLine="709"/>
        <w:jc w:val="both"/>
      </w:pPr>
      <w:r>
        <w:t>Acest capitol descrie metodologia de învățare automată a lucrării. Secțiunile 5.1–5.7 urmează ordinea în care au fost pregătite datele: obținerea și licența setului SCIN (5.1), scalele de ton al pielii folosite pentru analiza echității (5.2), auditul metadatelor (5.3), definirea categoriilor țintă (5.4), codificarea chestionarului (5.5) și împărțirea pe cazuri în seturi de antrenare, validare și testare (5.6), încărcarea datelor și augmentarea (5.7). Modelul, fuziunea multimodală, explicabilitatea și protocolul de evaluare sunt descrise în secțiunile 5.8–5.10.</w:t>
      </w:r>
    </w:p>
    <w:p>
      <w:pPr>
        <w:pStyle w:val="Heading2"/>
      </w:pPr>
      <w:r>
        <w:t>5.1 Setul de date SCIN: obținere și licență</w:t>
      </w:r>
    </w:p>
    <w:p>
      <w:pPr>
        <w:ind w:firstLine="709"/>
        <w:jc w:val="both"/>
      </w:pPr>
      <w:r>
        <w:t>Setul de date principal al lucrării este SCIN (Skin Condition Image Network), publicat de Google Research (https://github.com/google-research-datasets/scin) [1]. Setul a fost colectat prin contribuții voluntare ale unor utilizatori din Statele Unite, care au trimis fotografii realizate cu telefonul, împreună cu răspunsuri auto-declarate despre simptome, textură, durată și date demografice (https://research.google/blog/scin-a-new-resource-for-representative-dermatology-images/) [2]. Fiecare caz conține până la trei fotografii și este însoțit de evaluări ale dermatologilor: diagnostice diferențiale ponderate și estimări ale tonului pielii, descrise în secțiunea 5.2.</w:t>
      </w:r>
    </w:p>
    <w:p>
      <w:pPr>
        <w:ind w:firstLine="709"/>
        <w:jc w:val="both"/>
      </w:pPr>
      <w:r>
        <w:t>Metadatele sunt distribuite sub forma a două fișiere CSV (</w:t>
      </w:r>
      <w:r>
        <w:rPr>
          <w:i/>
        </w:rPr>
        <w:t>comma-separated values</w:t>
      </w:r>
      <w:r>
        <w:t xml:space="preserve">) principale, </w:t>
      </w:r>
      <w:r>
        <w:rPr>
          <w:rFonts w:ascii="Courier New" w:hAnsi="Courier New" w:eastAsia="Courier New" w:cs="Courier New"/>
          <w:sz w:val="21"/>
        </w:rPr>
        <w:t>scin_cases.csv</w:t>
      </w:r>
      <w:r>
        <w:t xml:space="preserve"> și </w:t>
      </w:r>
      <w:r>
        <w:rPr>
          <w:rFonts w:ascii="Courier New" w:hAnsi="Courier New" w:eastAsia="Courier New" w:cs="Courier New"/>
          <w:sz w:val="21"/>
        </w:rPr>
        <w:t>scin_labels.csv</w:t>
      </w:r>
      <w:r>
        <w:t xml:space="preserve">, legate prin identificatorul </w:t>
      </w:r>
      <w:r>
        <w:rPr>
          <w:rFonts w:ascii="Courier New" w:hAnsi="Courier New" w:eastAsia="Courier New" w:cs="Courier New"/>
          <w:sz w:val="21"/>
        </w:rPr>
        <w:t>case_id</w:t>
      </w:r>
      <w:r>
        <w:t xml:space="preserve">, alături de două fișiere care descriu întrebările din aplicație și din procesul de etichetare (https://github.com/google-research-datasets/scin/blob/main/dataset_schema.md) [3]. Fișierele au fost descărcate din depozitul public Google Cloud Storage </w:t>
      </w:r>
      <w:r>
        <w:rPr>
          <w:rFonts w:ascii="Courier New" w:hAnsi="Courier New" w:eastAsia="Courier New" w:cs="Courier New"/>
          <w:sz w:val="21"/>
        </w:rPr>
        <w:t>dx-scin-public-data</w:t>
      </w:r>
      <w:r>
        <w:t>, versiunea 1.0.0.</w:t>
      </w:r>
    </w:p>
    <w:p>
      <w:pPr>
        <w:ind w:firstLine="709"/>
        <w:jc w:val="both"/>
      </w:pPr>
      <w:r>
        <w:t>Utilizarea datelor este reglementată de SCIN Data Use License (https://github.com/google-research-datasets/scin/blob/main/LICENSE) [4]. Licența permite reproducerea, partajarea și adaptarea materialului, cu condiția atribuirii sursei, și interzice explicit orice încercare de re-identificare a persoanelor ale căror date au fost de-identificate; nerespectarea acestei restricții duce la încetarea imediată a drepturilor acordate. În consecință, lucrarea folosește datele exclusiv în scop de cercetare, nu redistribuie imaginile și nu efectuează nicio prelucrare care ar putea conduce la re-identificare.</w:t>
      </w:r>
    </w:p>
    <w:p>
      <w:pPr>
        <w:pStyle w:val="Heading2"/>
      </w:pPr>
      <w:r>
        <w:t>5.2 Scalele de ton al pielii și grupele folosite</w:t>
      </w:r>
    </w:p>
    <w:p>
      <w:pPr>
        <w:ind w:firstLine="709"/>
        <w:jc w:val="both"/>
      </w:pPr>
      <w:r>
        <w:t>Echitatea modelului este evaluată pe grupe de ton al pielii, definite pe baza a două scale. Ambele sunt prezentate aici, deoarece termenii introduși (eFST, eMST) sunt folosiți în restul capitolului.</w:t>
      </w:r>
    </w:p>
    <w:p>
      <w:pPr>
        <w:ind w:firstLine="709"/>
        <w:jc w:val="both"/>
      </w:pPr>
      <w:r>
        <w:t>Scala Fitzpatrick (FST) clasifică pielea în șase tipuri, de la I la VI, după reacția la soare: tipul I (piele foarte deschisă) se arde mereu și nu se bronzează, tipul III se arde uneori și se bronzează treptat, iar tipul VI (piele foarte închisă) aproape nu se arde niciodată (https://doi.org/10.1001/archderm.1988.01670060015008) [5]. În SCIN, până la trei dermatologi au atribuit fiecărui caz o etichetă FST pe baza fotografiilor. Din acestea am calculat eFST (</w:t>
      </w:r>
      <w:r>
        <w:rPr>
          <w:i/>
        </w:rPr>
        <w:t>estimated Fitzpatrick skin type</w:t>
      </w:r>
      <w:r>
        <w:t xml:space="preserve">, tip Fitzpatrick estimat) ca mediană a etichetelor disponibile, rotunjită în sus la jumătate. eFST este o estimare a unui evaluator pe baza unei fotografii, nu o măsurătoare a pielii, și este influențată de iluminare. Tipul Fitzpatrick auto-declarat de contribuitor (câmpul </w:t>
      </w:r>
      <w:r>
        <w:rPr>
          <w:rFonts w:ascii="Courier New" w:hAnsi="Courier New" w:eastAsia="Courier New" w:cs="Courier New"/>
          <w:sz w:val="21"/>
        </w:rPr>
        <w:t>fitzpatrick_skin_type</w:t>
      </w:r>
      <w:r>
        <w:t>) este distinct de eFST și este tratat ca răspuns al chestionarului (secțiunea 5.5).</w:t>
      </w:r>
    </w:p>
    <w:p>
      <w:pPr>
        <w:ind w:firstLine="709"/>
        <w:jc w:val="both"/>
      </w:pPr>
      <w:r>
        <w:t>Deoarece tipurile individuale au prea puține cazuri (tipul VI are doar 68), le-am grupat în perechi: I–II (piele cea mai deschisă), III–IV (piele medie) și V–VI (piele cea mai închisă). Cazurile fără nicio etichetă FST formează grupa „lipsă”.</w:t>
      </w:r>
    </w:p>
    <w:p>
      <w:pPr>
        <w:ind w:firstLine="709"/>
        <w:jc w:val="both"/>
      </w:pPr>
      <w:r>
        <w:t>A doua scală, eMST (</w:t>
      </w:r>
      <w:r>
        <w:rPr>
          <w:i/>
        </w:rPr>
        <w:t>estimated Monk Skin Tone</w:t>
      </w:r>
      <w:r>
        <w:t>, ton Monk estimat), folosește cele 10 trepte ale scalei Monk (https://skintone.google/) [6], atribuite de adnotatori. Am grupat-o în 1–3 (deschis), 4–6 (mediu) și 7–10 (închis). eMST nu este echivalentă cu eFST: cele două scale sunt măsuri diferite ale tonului pielii și sunt raportate separat. Numărul de cazuri din fiecare grupă este prezentat în Tabelul 5.1.</w:t>
      </w:r>
    </w:p>
    <w:p>
      <w:pPr>
        <w:pStyle w:val="Heading2"/>
      </w:pPr>
      <w:r>
        <w:t>5.3 Auditul metadatelor SCIN</w:t>
      </w:r>
    </w:p>
    <w:p>
      <w:pPr>
        <w:pStyle w:val="Heading3"/>
      </w:pPr>
      <w:r>
        <w:t>5.3.1 Procedura de audit</w:t>
      </w:r>
    </w:p>
    <w:p>
      <w:pPr>
        <w:ind w:firstLine="709"/>
        <w:jc w:val="both"/>
      </w:pPr>
      <w:r>
        <w:t xml:space="preserve">Pentru a cunoaște structura și limitările datelor înainte de proiectarea modelului, a fost implementat scriptul </w:t>
      </w:r>
      <w:r>
        <w:rPr>
          <w:rFonts w:ascii="Courier New" w:hAnsi="Courier New" w:eastAsia="Courier New" w:cs="Courier New"/>
          <w:sz w:val="21"/>
        </w:rPr>
        <w:t>ml/scripts/audit_scin.py</w:t>
      </w:r>
      <w:r>
        <w:t xml:space="preserve">. Acesta încarcă cele două fișiere, verifică unicitatea și corespondența identificatorului </w:t>
      </w:r>
      <w:r>
        <w:rPr>
          <w:rFonts w:ascii="Courier New" w:hAnsi="Courier New" w:eastAsia="Courier New" w:cs="Courier New"/>
          <w:sz w:val="21"/>
        </w:rPr>
        <w:t>case_id</w:t>
      </w:r>
      <w:r>
        <w:t>, unește tabelele la nivel de caz și generează o schemă a coloanelor (</w:t>
      </w:r>
      <w:r>
        <w:rPr>
          <w:rFonts w:ascii="Courier New" w:hAnsi="Courier New" w:eastAsia="Courier New" w:cs="Courier New"/>
          <w:sz w:val="21"/>
        </w:rPr>
        <w:t>scin_schema.json</w:t>
      </w:r>
      <w:r>
        <w:t>), un raport de audit (</w:t>
      </w:r>
      <w:r>
        <w:rPr>
          <w:rFonts w:ascii="Courier New" w:hAnsi="Courier New" w:eastAsia="Courier New" w:cs="Courier New"/>
          <w:sz w:val="21"/>
        </w:rPr>
        <w:t>scin_audit_report.md</w:t>
      </w:r>
      <w:r>
        <w:t>) și o intrare în registrul surselor de date (</w:t>
      </w:r>
      <w:r>
        <w:rPr>
          <w:rFonts w:ascii="Courier New" w:hAnsi="Courier New" w:eastAsia="Courier New" w:cs="Courier New"/>
          <w:sz w:val="21"/>
        </w:rPr>
        <w:t>data_sources.csv</w:t>
      </w:r>
      <w:r>
        <w:t>).</w:t>
      </w:r>
    </w:p>
    <w:p>
      <w:pPr>
        <w:ind w:firstLine="709"/>
        <w:jc w:val="both"/>
      </w:pPr>
      <w:r>
        <w:t xml:space="preserve">Un aspect metodologic important este faptul că întrebările cu răspunsuri multiple (textură, zonă a corpului, simptome) sunt stocate câte o coloană pentru fiecare opțiune, cu valoarea „YES” sau necompletată; o celulă goală înseamnă „opțiune nebifată”, nu „valoare lipsă”. De aceea, lipsa răspunsurilor a fost evaluată la nivelul întregii întrebări, iar răspunsurile neinformative, precum </w:t>
      </w:r>
      <w:r>
        <w:rPr>
          <w:rFonts w:ascii="Courier New" w:hAnsi="Courier New" w:eastAsia="Courier New" w:cs="Courier New"/>
          <w:sz w:val="21"/>
        </w:rPr>
        <w:t>AGE_UNKNOWN</w:t>
      </w:r>
      <w:r>
        <w:t xml:space="preserve"> sau </w:t>
      </w:r>
      <w:r>
        <w:rPr>
          <w:rFonts w:ascii="Courier New" w:hAnsi="Courier New" w:eastAsia="Courier New" w:cs="Courier New"/>
          <w:sz w:val="21"/>
        </w:rPr>
        <w:t>OTHER_OR_UNSPECIFIED</w:t>
      </w:r>
      <w:r>
        <w:t>, au fost raportate separat de valorile absente.</w:t>
      </w:r>
    </w:p>
    <w:p>
      <w:pPr>
        <w:pStyle w:val="Heading3"/>
      </w:pPr>
      <w:r>
        <w:t>5.3.2 Dimensiunea setului și integritatea cheii</w:t>
      </w:r>
    </w:p>
    <w:p>
      <w:pPr>
        <w:ind w:firstLine="709"/>
        <w:jc w:val="both"/>
      </w:pPr>
      <w:r>
        <w:t>Auditul a identificat 5.033 de cazuri unice și 10.407 imagini, în medie 2,07 imagini per caz; 38,7% dintre cazuri au o singură imagine, 15,8% au două, iar 45,5% au trei. Toate cele 5.033 de identificatoare apar în ambele fișiere, fără duplicate.</w:t>
      </w:r>
    </w:p>
    <w:p>
      <w:pPr>
        <w:pStyle w:val="Heading3"/>
      </w:pPr>
      <w:r>
        <w:t>5.3.3 Lipsa răspunsurilor auto-declarate</w:t>
      </w:r>
    </w:p>
    <w:p>
      <w:pPr>
        <w:ind w:firstLine="709"/>
        <w:jc w:val="both"/>
      </w:pPr>
      <w:r>
        <w:t>Lipsa răspunsurilor este substanțială și neuniformă: grupa de vârstă este necunoscută în 56,9% dintre cazuri, tipul de piele Fitzpatrick auto-declarat lipsește sau este neidentificat în 56,8%, întrebarea despre etnie nu are niciun răspuns în 47,3%, simptomele legate de afecțiune lipsesc în 25,1%, durata în 20,6%, iar textura și zona corpului în aproximativ 19% dintre cazuri. Această lipsă naturală a răspunsurilor confirmă relevanța practică a întrebării de cercetare privind funcționarea modelului atunci când chestionarul este incomplet.</w:t>
      </w:r>
    </w:p>
    <w:p>
      <w:pPr>
        <w:pStyle w:val="Heading3"/>
      </w:pPr>
      <w:r>
        <w:t>5.3.4 Distribuția tonurilor de piele</w:t>
      </w:r>
    </w:p>
    <w:p>
      <w:pPr>
        <w:ind w:firstLine="709"/>
        <w:jc w:val="both"/>
      </w:pPr>
      <w:r>
        <w:t>Distribuția cazurilor pe grupele de ton definite în secțiunea 5.2 este prezentată în Tabelul 5.1. Procentele sunt calculate din totalul de 5.033 de cazuri.</w:t>
      </w:r>
    </w:p>
    <w:p>
      <w:pPr>
        <w:pStyle w:val="Caption"/>
      </w:pPr>
      <w:r>
        <w:t>Tabelul 5.</w:t>
      </w:r>
      <w:r>
        <w:rPr>
          <w:b/>
        </w:rPr>
        <w:fldChar w:fldCharType="begin"/>
      </w:r>
      <w:r>
        <w:rPr>
          <w:b/>
        </w:rPr>
        <w:instrText xml:space="preserve"> SEQ Tabelul \* ARABIC \r 1 </w:instrText>
      </w:r>
      <w:r>
        <w:rPr>
          <w:b/>
        </w:rPr>
        <w:fldChar w:fldCharType="separate"/>
      </w:r>
      <w:r>
        <w:rPr>
          <w:b/>
        </w:rPr>
        <w:t>1</w:t>
      </w:r>
      <w:r>
        <w:rPr>
          <w:b/>
        </w:rPr>
        <w:fldChar w:fldCharType="end"/>
      </w:r>
      <w:r>
        <w:t>. Distribuția tonurilor de piele estimate în SCIN (N = 5.033 cazuri).</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4252"/>
        <w:gridCol w:w="1984"/>
        <w:gridCol w:w="1984"/>
      </w:tblGrid>
      <w:tr>
        <w:trPr>
          <w:cantSplit/>
          <w:tblHeader/>
        </w:trPr>
        <w:tc>
          <w:tcPr>
            <w:tcW w:type="dxa" w:w="4252"/>
            <w:shd w:val="clear" w:color="auto" w:fill="D9D9D9"/>
          </w:tcPr>
          <w:p>
            <w:pPr>
              <w:pStyle w:val="TableText"/>
              <w:jc w:val="left"/>
            </w:pPr>
            <w:r>
              <w:rPr>
                <w:b/>
              </w:rPr>
              <w:t>Grupă</w:t>
            </w:r>
          </w:p>
        </w:tc>
        <w:tc>
          <w:tcPr>
            <w:tcW w:type="dxa" w:w="1984"/>
            <w:shd w:val="clear" w:color="auto" w:fill="D9D9D9"/>
          </w:tcPr>
          <w:p>
            <w:pPr>
              <w:pStyle w:val="TableText"/>
              <w:jc w:val="center"/>
            </w:pPr>
            <w:r>
              <w:rPr>
                <w:b/>
              </w:rPr>
              <w:t>Cazuri</w:t>
            </w:r>
          </w:p>
        </w:tc>
        <w:tc>
          <w:tcPr>
            <w:tcW w:type="dxa" w:w="1984"/>
            <w:shd w:val="clear" w:color="auto" w:fill="D9D9D9"/>
          </w:tcPr>
          <w:p>
            <w:pPr>
              <w:pStyle w:val="TableText"/>
              <w:jc w:val="center"/>
            </w:pPr>
            <w:r>
              <w:rPr>
                <w:b/>
              </w:rPr>
              <w:t>%</w:t>
            </w:r>
          </w:p>
        </w:tc>
      </w:tr>
      <w:tr>
        <w:trPr>
          <w:cantSplit/>
        </w:trPr>
        <w:tc>
          <w:tcPr>
            <w:tcW w:type="dxa" w:w="8220"/>
            <w:gridSpan w:val="3"/>
            <w:shd w:val="clear" w:color="auto" w:fill="EFEFEF"/>
          </w:tcPr>
          <w:p>
            <w:pPr>
              <w:pStyle w:val="TableText"/>
            </w:pPr>
            <w:r/>
            <w:r>
              <w:rPr>
                <w:b/>
              </w:rPr>
              <w:t>Tip Fitzpatrick estimat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lipsă</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shd w:val="clear" w:color="auto" w:fill="EFEFEF"/>
          </w:tcPr>
          <w:p>
            <w:pPr>
              <w:pStyle w:val="TableText"/>
            </w:pPr>
            <w:r/>
            <w:r>
              <w:rPr>
                <w:b/>
              </w:rPr>
              <w:t>Ton Monk estimat (eMST, adnotatori SUA)</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lipsă</w:t>
            </w:r>
          </w:p>
        </w:tc>
        <w:tc>
          <w:tcPr>
            <w:tcW w:type="dxa" w:w="1984"/>
          </w:tcPr>
          <w:p>
            <w:pPr>
              <w:pStyle w:val="TableText"/>
              <w:jc w:val="right"/>
            </w:pPr>
            <w:r>
              <w:t>28</w:t>
            </w:r>
          </w:p>
        </w:tc>
        <w:tc>
          <w:tcPr>
            <w:tcW w:type="dxa" w:w="1984"/>
          </w:tcPr>
          <w:p>
            <w:pPr>
              <w:pStyle w:val="TableText"/>
              <w:jc w:val="right"/>
            </w:pPr>
            <w:r>
              <w:t>0,6</w:t>
            </w:r>
          </w:p>
        </w:tc>
      </w:tr>
    </w:tbl>
    <w:p>
      <w:pPr>
        <w:pStyle w:val="TableSource"/>
      </w:pPr>
      <w:r>
        <w:t xml:space="preserve">Sursa: audit propriu, </w:t>
      </w:r>
      <w:r>
        <w:rPr>
          <w:rFonts w:ascii="Courier New" w:hAnsi="Courier New" w:eastAsia="Courier New" w:cs="Courier New"/>
          <w:sz w:val="16"/>
        </w:rPr>
        <w:t>ml/scripts/audit_scin.py</w:t>
      </w:r>
      <w:r>
        <w:t>, SCIN versiunea 1.0.0 [1].</w:t>
      </w:r>
    </w:p>
    <w:p>
      <w:pPr>
        <w:ind w:firstLine="709"/>
        <w:jc w:val="both"/>
      </w:pPr>
      <w:r>
        <w:t>Distribuția este dezechilibrată. Conform definiției din secțiunea 5.2, eFST este mediana a până la trei etichete ale dermatologilor; în 73,7% dintre cazuri există o singură etichetă, iar 13,2% dintre cazuri nu au niciuna. Grupul V–VI reprezintă doar 8,7% din cazuri, iar tipul VI numai 68 de cazuri (1,35%). Pe scala Monk (eMST), grupul 7–10 cuprinde 4,1% din cazuri conform adnotatorilor din SUA și doar 1,0% conform celor din India, ceea ce arată că cele două grupuri de adnotatori nu sunt interschimbabile și că alegerea uneia dintre ele trebuie raportată explicit. Rezultatele pentru tonurile închise vor avea, prin urmare, intervale de încredere largi.</w:t>
      </w:r>
    </w:p>
    <w:p>
      <w:pPr>
        <w:pStyle w:val="Heading3"/>
      </w:pPr>
      <w:r>
        <w:t>5.3.5 Etichetele dermatologilor</w:t>
      </w:r>
    </w:p>
    <w:p>
      <w:pPr>
        <w:ind w:firstLine="709"/>
        <w:jc w:val="both"/>
      </w:pPr>
      <w:r>
        <w:t>În privința etichetelor, 3.061 de cazuri (60,8%) au cel puțin o etichetă ponderată atribuită de dermatologi, iar primul dermatolog a considerat calitatea imaginilor insuficientă pentru o evaluare în 38,3% dintre cazuri. Etichetele reprezintă evaluări diferențiale retrospective, realizate pe baza imaginilor și a datelor auto-declarate, nu rezultate confirmate clinic. Cele mai frecvente etichete principale sunt eczema (488 de cazuri), dermatita alergică de contact (270), urticaria (214), înțepătura de insectă (185) și foliculita (142), în timp ce acneea apare ca etichetă principală în doar 61 de cazuri, iar rozaceea în 29. Aceste valori fundamentează alegerea setului final de clase, descrisă în secțiunea 5.4.</w:t>
      </w:r>
    </w:p>
    <w:p>
      <w:pPr>
        <w:pStyle w:val="Heading2"/>
      </w:pPr>
      <w:r>
        <w:t>5.4 Definirea categoriilor țintă de probleme ale pielii</w:t>
      </w:r>
    </w:p>
    <w:p>
      <w:pPr>
        <w:ind w:firstLine="709"/>
        <w:jc w:val="both"/>
      </w:pPr>
      <w:r>
        <w:t xml:space="preserve">Etichetele SCIN sunt peste 370 de denumiri diferențiale distincte, multe cu mai puțin de zece apariții, deci nepotrivite ca set de clase pentru un asistent informativ. Scriptul </w:t>
      </w:r>
      <w:r>
        <w:rPr>
          <w:rFonts w:ascii="Courier New" w:hAnsi="Courier New" w:eastAsia="Courier New" w:cs="Courier New"/>
          <w:sz w:val="21"/>
        </w:rPr>
        <w:t>ml/labels/build_labels.py</w:t>
      </w:r>
      <w:r>
        <w:t xml:space="preserve"> le grupează în cinci categorii țintă (</w:t>
      </w:r>
      <w:r>
        <w:rPr>
          <w:rFonts w:ascii="Courier New" w:hAnsi="Courier New" w:eastAsia="Courier New" w:cs="Courier New"/>
          <w:sz w:val="21"/>
        </w:rPr>
        <w:t>acne</w:t>
      </w:r>
      <w:r>
        <w:t xml:space="preserve">, </w:t>
      </w:r>
      <w:r>
        <w:rPr>
          <w:rFonts w:ascii="Courier New" w:hAnsi="Courier New" w:eastAsia="Courier New" w:cs="Courier New"/>
          <w:sz w:val="21"/>
        </w:rPr>
        <w:t>eczema_dermatitis</w:t>
      </w:r>
      <w:r>
        <w:t xml:space="preserve">, </w:t>
      </w:r>
      <w:r>
        <w:rPr>
          <w:rFonts w:ascii="Courier New" w:hAnsi="Courier New" w:eastAsia="Courier New" w:cs="Courier New"/>
          <w:sz w:val="21"/>
        </w:rPr>
        <w:t>redness_rosacea</w:t>
      </w:r>
      <w:r>
        <w:t xml:space="preserve">, </w:t>
      </w:r>
      <w:r>
        <w:rPr>
          <w:rFonts w:ascii="Courier New" w:hAnsi="Courier New" w:eastAsia="Courier New" w:cs="Courier New"/>
          <w:sz w:val="21"/>
        </w:rPr>
        <w:t>normal_other</w:t>
      </w:r>
      <w:r>
        <w:t xml:space="preserve">, </w:t>
      </w:r>
      <w:r>
        <w:rPr>
          <w:rFonts w:ascii="Courier New" w:hAnsi="Courier New" w:eastAsia="Courier New" w:cs="Courier New"/>
          <w:sz w:val="21"/>
        </w:rPr>
        <w:t>excluded</w:t>
      </w:r>
      <w:r>
        <w:t xml:space="preserve">), pe baza unui dicționar explicit din </w:t>
      </w:r>
      <w:r>
        <w:rPr>
          <w:rFonts w:ascii="Courier New" w:hAnsi="Courier New" w:eastAsia="Courier New" w:cs="Courier New"/>
          <w:sz w:val="21"/>
        </w:rPr>
        <w:t>ml/labels/label_map.yaml</w:t>
      </w:r>
      <w:r>
        <w:t xml:space="preserve">. Pentru fiecare </w:t>
      </w:r>
      <w:r>
        <w:rPr>
          <w:rFonts w:ascii="Courier New" w:hAnsi="Courier New" w:eastAsia="Courier New" w:cs="Courier New"/>
          <w:sz w:val="21"/>
        </w:rPr>
        <w:t>case_id</w:t>
      </w:r>
      <w:r>
        <w:t xml:space="preserve">, ponderile denumirilor atribuite aceleiași categorii se însumează, iar categoria cu suma maximă devine eticheta principală dacă suma atinge un prag configurabil (0,40). Egalitățile și cazurile sub prag primesc eticheta </w:t>
      </w:r>
      <w:r>
        <w:rPr>
          <w:rFonts w:ascii="Courier New" w:hAnsi="Courier New" w:eastAsia="Courier New" w:cs="Courier New"/>
          <w:sz w:val="21"/>
        </w:rPr>
        <w:t>excluded</w:t>
      </w:r>
      <w:r>
        <w:t>, la fel ca denumirile nemapate. Categoriile sunt grupări de probleme ale pielii, nu clasificări medicale.</w:t>
      </w:r>
    </w:p>
    <w:p>
      <w:pPr>
        <w:ind w:firstLine="709"/>
        <w:jc w:val="both"/>
      </w:pPr>
      <w:r>
        <w:t>Distribuția celor 5.033 de cazuri pe categorii și pe grupe eFST este prezentată în Tabelul 5.2.</w:t>
      </w:r>
    </w:p>
    <w:p>
      <w:pPr>
        <w:pStyle w:val="Caption"/>
      </w:pPr>
      <w:r>
        <w:t>Tabelul 5.</w:t>
      </w:r>
      <w:r>
        <w:rPr>
          <w:b/>
        </w:rPr>
        <w:fldChar w:fldCharType="begin"/>
      </w:r>
      <w:r>
        <w:rPr>
          <w:b/>
        </w:rPr>
        <w:instrText xml:space="preserve"> SEQ Tabelul \* ARABIC </w:instrText>
      </w:r>
      <w:r>
        <w:rPr>
          <w:b/>
        </w:rPr>
        <w:fldChar w:fldCharType="separate"/>
      </w:r>
      <w:r>
        <w:rPr>
          <w:b/>
        </w:rPr>
        <w:t>2</w:t>
      </w:r>
      <w:r>
        <w:rPr>
          <w:b/>
        </w:rPr>
        <w:fldChar w:fldCharType="end"/>
      </w:r>
      <w:r>
        <w:t>. Categorii țintă pe grupe eFST (SCIN, prag 0,40).</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2381"/>
        <w:gridCol w:w="1304"/>
        <w:gridCol w:w="1417"/>
        <w:gridCol w:w="1304"/>
        <w:gridCol w:w="1417"/>
        <w:gridCol w:w="1247"/>
      </w:tblGrid>
      <w:tr>
        <w:trPr>
          <w:cantSplit/>
          <w:tblHeader/>
        </w:trPr>
        <w:tc>
          <w:tcPr>
            <w:tcW w:type="dxa" w:w="2381"/>
            <w:shd w:val="clear" w:color="auto" w:fill="D9D9D9"/>
          </w:tcPr>
          <w:p>
            <w:pPr>
              <w:pStyle w:val="TableText"/>
              <w:jc w:val="left"/>
            </w:pPr>
            <w:r>
              <w:rPr>
                <w:b/>
              </w:rPr>
              <w:t>Categorie</w:t>
            </w:r>
          </w:p>
        </w:tc>
        <w:tc>
          <w:tcPr>
            <w:tcW w:type="dxa" w:w="1304"/>
            <w:shd w:val="clear" w:color="auto" w:fill="D9D9D9"/>
          </w:tcPr>
          <w:p>
            <w:pPr>
              <w:pStyle w:val="TableText"/>
              <w:jc w:val="center"/>
            </w:pPr>
            <w:r>
              <w:rPr>
                <w:b/>
              </w:rPr>
              <w:t>eFST I–II</w:t>
            </w:r>
          </w:p>
        </w:tc>
        <w:tc>
          <w:tcPr>
            <w:tcW w:type="dxa" w:w="1417"/>
            <w:shd w:val="clear" w:color="auto" w:fill="D9D9D9"/>
          </w:tcPr>
          <w:p>
            <w:pPr>
              <w:pStyle w:val="TableText"/>
              <w:jc w:val="center"/>
            </w:pPr>
            <w:r>
              <w:rPr>
                <w:b/>
              </w:rPr>
              <w:t>eFST III–IV</w:t>
            </w:r>
          </w:p>
        </w:tc>
        <w:tc>
          <w:tcPr>
            <w:tcW w:type="dxa" w:w="1304"/>
            <w:shd w:val="clear" w:color="auto" w:fill="D9D9D9"/>
          </w:tcPr>
          <w:p>
            <w:pPr>
              <w:pStyle w:val="TableText"/>
              <w:jc w:val="center"/>
            </w:pPr>
            <w:r>
              <w:rPr>
                <w:b/>
              </w:rPr>
              <w:t>eFST V–VI</w:t>
            </w:r>
          </w:p>
        </w:tc>
        <w:tc>
          <w:tcPr>
            <w:tcW w:type="dxa" w:w="1417"/>
            <w:shd w:val="clear" w:color="auto" w:fill="D9D9D9"/>
          </w:tcPr>
          <w:p>
            <w:pPr>
              <w:pStyle w:val="TableText"/>
              <w:jc w:val="center"/>
            </w:pPr>
            <w:r>
              <w:rPr>
                <w:b/>
              </w:rPr>
              <w:t>eFST lipsă</w:t>
            </w:r>
          </w:p>
        </w:tc>
        <w:tc>
          <w:tcPr>
            <w:tcW w:type="dxa" w:w="1247"/>
            <w:shd w:val="clear" w:color="auto" w:fill="D9D9D9"/>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Sursa: </w:t>
      </w:r>
      <w:r>
        <w:rPr>
          <w:rFonts w:ascii="Courier New" w:hAnsi="Courier New" w:eastAsia="Courier New" w:cs="Courier New"/>
          <w:sz w:val="16"/>
        </w:rPr>
        <w:t>ml/labels/build_labels.py</w:t>
      </w:r>
      <w:r>
        <w:t>, prag 0,40; SCIN versiunea 1.0.0 [1].</w:t>
      </w:r>
    </w:p>
    <w:p>
      <w:pPr>
        <w:ind w:firstLine="709"/>
        <w:jc w:val="both"/>
      </w:pPr>
      <w:r>
        <w:t xml:space="preserve">Din 5.033 de cazuri, 144 au ca etichetă principală acne, 1.068 eczema_dermatitis, 44 redness_rosacea și 553 normal_other; 3.224 sunt excluse (dintre acestea, 1.972 nu au nicio etichetă ponderată). Categoria redness_rosacea are doar un caz în grupul eFST V–VI, iar acne 10, deci analiza pe tonuri închise va avea intervale de încredere foarte largi pentru aceste categorii. Mapările din </w:t>
      </w:r>
      <w:r>
        <w:rPr>
          <w:rFonts w:ascii="Courier New" w:hAnsi="Courier New" w:eastAsia="Courier New" w:cs="Courier New"/>
          <w:sz w:val="21"/>
        </w:rPr>
        <w:t>label_map.yaml</w:t>
      </w:r>
      <w:r>
        <w:t xml:space="preserve"> sunt decizii ale autorului (de exemplu foliculita este inclusă în acne) și vor fi raportate ca limitare.</w:t>
      </w:r>
    </w:p>
    <w:p>
      <w:pPr>
        <w:pStyle w:val="Heading2"/>
      </w:pPr>
      <w:r>
        <w:t>5.5 Codificarea chestionarului și masca de valori lipsă</w:t>
      </w:r>
    </w:p>
    <w:p>
      <w:pPr>
        <w:ind w:firstLine="709"/>
        <w:jc w:val="both"/>
      </w:pPr>
      <w:r>
        <w:t>Răspunsurile auto-declarate din SCIN [3] sunt transformate într-un vector numeric de lungime fixă, împreună cu o mască binară de valori lipsă. Masca (</w:t>
      </w:r>
      <w:r>
        <w:rPr>
          <w:i/>
        </w:rPr>
        <w:t>mask</w:t>
      </w:r>
      <w:r>
        <w:t>) conține câte o valoare pentru fiecare câmp al chestionarului: 1 înseamnă că persoana nu a răspuns, 0 că a răspuns. Valorile lipsă nu sunt completate (imputare, adică înlocuirea lor cu o valoare estimată, de exemplu media); în schimb, câmpul lipsă primește valoarea 0 în vector, iar modelul citește masca pentru a ști că acel 0 nu este un răspuns. Această alegere permite experimente în care răspunsurile sunt eliminate deliberat (</w:t>
      </w:r>
      <w:r>
        <w:rPr>
          <w:i/>
        </w:rPr>
        <w:t>modality dropout</w:t>
      </w:r>
      <w:r>
        <w:t>, adică mascarea aleatorie a unei modalități de intrare în timpul antrenării) și măsurarea robusteții modelului la răspunsuri lipsă.</w:t>
      </w:r>
    </w:p>
    <w:p>
      <w:pPr>
        <w:ind w:firstLine="709"/>
        <w:jc w:val="both"/>
      </w:pPr>
      <w:r>
        <w:t>Un răspuns explicit de tip „necunoscut” sau „niciuna dintre variante” este tratat ca răspuns prezent (masca 0) și are propria coloană indicator, deosebit de lipsa răspunsului. Șase câmpuri sunt codificate: grupa de vârstă și tipul de piele auto-declarat (</w:t>
      </w:r>
      <w:r>
        <w:rPr>
          <w:i/>
        </w:rPr>
        <w:t>one-hot</w:t>
      </w:r>
      <w:r>
        <w:t>: câte o coloană pentru fiecare variantă, exact una având valoarea 1), zona corpului, simptomele și textura (</w:t>
      </w:r>
      <w:r>
        <w:rPr>
          <w:i/>
        </w:rPr>
        <w:t>multi-hot</w:t>
      </w:r>
      <w:r>
        <w:t xml:space="preserve">: câte o coloană pentru fiecare variantă, mai multe putând fi 1, deoarece persoana poate bifa mai multe opțiuni) și durata (ordinală: număr întreg de la 1, „o zi”, la 8, „din copilărie”, păstrând ordinea). Rezultă 40 de coloane de trăsături și 6 de mască pentru fiecare </w:t>
      </w:r>
      <w:r>
        <w:rPr>
          <w:rFonts w:ascii="Courier New" w:hAnsi="Courier New" w:eastAsia="Courier New" w:cs="Courier New"/>
          <w:sz w:val="21"/>
        </w:rPr>
        <w:t>case_id</w:t>
      </w:r>
      <w:r>
        <w:t>.</w:t>
      </w:r>
    </w:p>
    <w:p>
      <w:pPr>
        <w:ind w:firstLine="709"/>
        <w:jc w:val="both"/>
      </w:pPr>
      <w:r>
        <w:t>Întrebările cu răspunsuri multiple sunt stocate în SCIN ca o coloană pe opțiune, cu valoarea „YES” sau celulă goală. O celulă goală înseamnă „nebifat”, deci o întrebare este considerată fără răspuns doar dacă nu este bifată nicio opțiune; nu se poate distinge între o persoană care a omis întrebarea și una care nu a bifat nimic (limitare). Rata observată a lipsei este de 18,8% pentru zona corpului, 25,1% pentru simptome, 19,0% pentru textură, 19,8% pentru durată și 50,3% pentru tipul de piele; încă 328 de cazuri au ales „niciuna dintre variante” la tipul de piele. Sexul la naștere, etnia, simptomele sistemice și categoria auto-descrisă nu sunt incluse: primele două sunt rezervate analizei de echitate, iar ultima conține etichete precum „acne”, care ar dezvălui clasa țintă.</w:t>
      </w:r>
    </w:p>
    <w:p>
      <w:pPr>
        <w:pStyle w:val="Heading2"/>
      </w:pPr>
      <w:r>
        <w:t>5.6 Împărțirea pe cazuri în seturi de antrenare, validare și testare</w:t>
      </w:r>
    </w:p>
    <w:p>
      <w:pPr>
        <w:ind w:firstLine="709"/>
        <w:jc w:val="both"/>
      </w:pPr>
      <w:r>
        <w:t>Datele sunt împărțite în trei seturi: antrenare (70%, pe care modelul învață), validare (15%, pentru alegerea setărilor) și testare (15%, folosit doar pentru evaluarea finală). Împărțirea se face la nivel de caz (</w:t>
      </w:r>
      <w:r>
        <w:rPr>
          <w:rFonts w:ascii="Courier New" w:hAnsi="Courier New" w:eastAsia="Courier New" w:cs="Courier New"/>
          <w:sz w:val="21"/>
        </w:rPr>
        <w:t>case_id</w:t>
      </w:r>
      <w:r>
        <w:t>), nu de imagine: toate fotografiile aceluiași caz rămân în același set. Altfel, apare scurgerea de informație (</w:t>
      </w:r>
      <w:r>
        <w:rPr>
          <w:i/>
        </w:rPr>
        <w:t>data leakage</w:t>
      </w:r>
      <w:r>
        <w:t xml:space="preserve">): modelul ar vedea la antrenare o fotografie a unui caz și ar fi testat pe o altă fotografie a aceluiași caz, iar rezultatele ar fi nerealist de bune. Scriptul </w:t>
      </w:r>
      <w:r>
        <w:rPr>
          <w:rFonts w:ascii="Courier New" w:hAnsi="Courier New" w:eastAsia="Courier New" w:cs="Courier New"/>
          <w:sz w:val="21"/>
        </w:rPr>
        <w:t>ml/splits/make_splits.py</w:t>
      </w:r>
      <w:r>
        <w:t xml:space="preserve"> lucrează pe un rând per </w:t>
      </w:r>
      <w:r>
        <w:rPr>
          <w:rFonts w:ascii="Courier New" w:hAnsi="Courier New" w:eastAsia="Courier New" w:cs="Courier New"/>
          <w:sz w:val="21"/>
        </w:rPr>
        <w:t>case_id</w:t>
      </w:r>
      <w:r>
        <w:t>, deci un caz nu poate fi împărțit între seturi.</w:t>
      </w:r>
    </w:p>
    <w:p>
      <w:pPr>
        <w:ind w:firstLine="709"/>
        <w:jc w:val="both"/>
      </w:pPr>
      <w:r>
        <w:t>Împărțirea este stratificată, adică păstrează în fiecare set aproximativ aceleași proporții ale unei combinații de două variabile: categoria țintă (</w:t>
      </w:r>
      <w:r>
        <w:rPr>
          <w:rFonts w:ascii="Courier New" w:hAnsi="Courier New" w:eastAsia="Courier New" w:cs="Courier New"/>
          <w:sz w:val="21"/>
        </w:rPr>
        <w:t>primary_label</w:t>
      </w:r>
      <w:r>
        <w:t>) și grupa de ton eFST (I–II, III–IV, V–VI sau lipsă). Astfel, tonurile închise nu ajung accidental doar într-un singur set. Se face în doi pași: mai întâi 70% antrenare și 30% rest, apoi restul se împarte în jumătate între validare și testare. Combinațiile cu mai puțin de 4 cazuri nu pot fi stratificate; ele sunt unite mai întâi pe categorie, apoi într-un grup comun (5 cazuri în total). Procedura se repetă pentru cinci valori ale seed-ului (0–4), adică ale numărului care fixează aleatorismul, ceea ce dă cinci împărțiri diferite și reproductibile, pentru raportarea variabilității rezultatelor.</w:t>
      </w:r>
    </w:p>
    <w:p>
      <w:pPr>
        <w:ind w:firstLine="709"/>
        <w:jc w:val="both"/>
      </w:pPr>
      <w:r>
        <w:t xml:space="preserve">Pe lângă cazurile propriu-zise, s-a verificat dacă aceeași fotografie apare în mai multe cazuri: pentru toate cele 4.089 de imagini descărcate (inclusiv toate cele 3.886 ale cazurilor folosite) s-a calculat amprenta MD5, un cod care este identic doar pentru fișiere identice (scriptul </w:t>
      </w:r>
      <w:r>
        <w:rPr>
          <w:rFonts w:ascii="Courier New" w:hAnsi="Courier New" w:eastAsia="Courier New" w:cs="Courier New"/>
          <w:sz w:val="21"/>
        </w:rPr>
        <w:t>ml/scripts/find_duplicate_images.py</w:t>
      </w:r>
      <w:r>
        <w:t>). Au rezultat 5 grupuri de câte 2–3 cazuri (12 cazuri în total) care conțin aceleași fotografii, probabil același contributor care a trimis cazul de două ori. În prima versiune a împărțirii, pentru seed-ul 0, patru astfel de fotografii ajungeau în seturi diferite, deci modelul ar fi putut vedea la antrenare o imagine de test. De aceea, cazurile unui grup sunt tratate ca o singură unitate la împărțire. Într-un grup, aceleași fotografii au primit categorii diferite (redness_rosacea, eczema_dermatitis și excluded), un exemplu concret de zgomot în etichete, adică etichete inconsecvente pentru aceeași imagine.</w:t>
      </w:r>
    </w:p>
    <w:p>
      <w:pPr>
        <w:ind w:firstLine="709"/>
        <w:jc w:val="both"/>
      </w:pPr>
      <w:r>
        <w:t>Rezultatul este, în funcție de seed, între 3.522 și 3.525 de cazuri în antrenare, între 754 și 757 în validare și între 754 și 756 în testare. În grupul eFST V–VI cazurile se repartizează 303, 68 și 65 (seed-ul 0). Categoria redness_rosacea are în total 44 de cazuri (30 în antrenare, 8 în validare, 6 în testare, pentru seed-ul 0), iar în V–VI un singur caz, în validare, deci rezultatele pentru ea pe tonuri închise nu pot fi evaluate. Un test automat (</w:t>
      </w:r>
      <w:r>
        <w:rPr>
          <w:rFonts w:ascii="Courier New" w:hAnsi="Courier New" w:eastAsia="Courier New" w:cs="Courier New"/>
          <w:sz w:val="21"/>
        </w:rPr>
        <w:t>ml/tests/test_no_leakage.py</w:t>
      </w:r>
      <w:r>
        <w:t xml:space="preserve">) verifică pentru fiecare seed că niciun </w:t>
      </w:r>
      <w:r>
        <w:rPr>
          <w:rFonts w:ascii="Courier New" w:hAnsi="Courier New" w:eastAsia="Courier New" w:cs="Courier New"/>
          <w:sz w:val="21"/>
        </w:rPr>
        <w:t>case_id</w:t>
      </w:r>
      <w:r>
        <w:t xml:space="preserve"> nu apare în două seturi, că nu există duplicate, că seturile acoperă toate cazurile și că nicio fotografie identică nu apare în două seturi.</w:t>
      </w:r>
    </w:p>
    <w:p>
      <w:pPr>
        <w:pStyle w:val="Heading2"/>
      </w:pPr>
      <w:r>
        <w:t>5.7 Încărcarea datelor, selecția imaginilor și augmentarea</w:t>
      </w:r>
    </w:p>
    <w:p>
      <w:pPr>
        <w:ind w:firstLine="709"/>
        <w:jc w:val="both"/>
      </w:pPr>
      <w:r>
        <w:t xml:space="preserve">Pentru antrenare, datele sunt furnizate modelului printr-o clasă </w:t>
      </w:r>
      <w:r>
        <w:rPr>
          <w:rFonts w:ascii="Courier New" w:hAnsi="Courier New" w:eastAsia="Courier New" w:cs="Courier New"/>
          <w:sz w:val="21"/>
        </w:rPr>
        <w:t>SCINDataset</w:t>
      </w:r>
      <w:r>
        <w:t xml:space="preserve"> (fișierul </w:t>
      </w:r>
      <w:r>
        <w:rPr>
          <w:rFonts w:ascii="Courier New" w:hAnsi="Courier New" w:eastAsia="Courier New" w:cs="Courier New"/>
          <w:sz w:val="21"/>
        </w:rPr>
        <w:t>ml/data_loading.py</w:t>
      </w:r>
      <w:r>
        <w:t xml:space="preserve">), care, pentru fiecare </w:t>
      </w:r>
      <w:r>
        <w:rPr>
          <w:rFonts w:ascii="Courier New" w:hAnsi="Courier New" w:eastAsia="Courier New" w:cs="Courier New"/>
          <w:sz w:val="21"/>
        </w:rPr>
        <w:t>case_id</w:t>
      </w:r>
      <w:r>
        <w:t>, returnează un set de tensori (tablouri numerice folosite de PyTorch): imaginea, vectorul chestionarului (</w:t>
      </w:r>
      <w:r>
        <w:rPr>
          <w:rFonts w:ascii="Courier New" w:hAnsi="Courier New" w:eastAsia="Courier New" w:cs="Courier New"/>
          <w:sz w:val="21"/>
        </w:rPr>
        <w:t>q_vec</w:t>
      </w:r>
      <w:r>
        <w:t>, 40 de valori), masca de valori lipsă (</w:t>
      </w:r>
      <w:r>
        <w:rPr>
          <w:rFonts w:ascii="Courier New" w:hAnsi="Courier New" w:eastAsia="Courier New" w:cs="Courier New"/>
          <w:sz w:val="21"/>
        </w:rPr>
        <w:t>q_mask</w:t>
      </w:r>
      <w:r>
        <w:t>, 6 valori, câte una pe câmp), categoria țintă ca număr întreg (</w:t>
      </w:r>
      <w:r>
        <w:rPr>
          <w:rFonts w:ascii="Courier New" w:hAnsi="Courier New" w:eastAsia="Courier New" w:cs="Courier New"/>
          <w:sz w:val="21"/>
        </w:rPr>
        <w:t>label</w:t>
      </w:r>
      <w:r>
        <w:t>), tipul de piele eFST (</w:t>
      </w:r>
      <w:r>
        <w:rPr>
          <w:rFonts w:ascii="Courier New" w:hAnsi="Courier New" w:eastAsia="Courier New" w:cs="Courier New"/>
          <w:sz w:val="21"/>
        </w:rPr>
        <w:t>eFST</w:t>
      </w:r>
      <w:r>
        <w:t xml:space="preserve">, cu −1 când lipsește) și identificatorul cazului. Încărcătorul de date (DataLoader) grupează cazurile în loturi (batch-uri) de 32 de exemple, adică grupuri de exemple procesate împreună de model la un pas de antrenare. Cele cinci categorii definite în secțiunea 5.4 sunt reduse la patru clase de antrenare: grupa </w:t>
      </w:r>
      <w:r>
        <w:rPr>
          <w:rFonts w:ascii="Courier New" w:hAnsi="Courier New" w:eastAsia="Courier New" w:cs="Courier New"/>
          <w:sz w:val="21"/>
        </w:rPr>
        <w:t>excluded</w:t>
      </w:r>
      <w:r>
        <w:t xml:space="preserve"> (cazuri cu etichetă ambiguă, sub prag sau fără etichetă) nu este o categorie-țintă a asistentului și este lăsată deoparte. Rămân 1.809 cazuri, repartizate pentru seed-ul 0 astfel: 1.266 în antrenare, 273 în validare și 270 în testare.</w:t>
      </w:r>
    </w:p>
    <w:p>
      <w:pPr>
        <w:ind w:firstLine="709"/>
        <w:jc w:val="both"/>
      </w:pPr>
      <w:r>
        <w:t>Un caz poate avea până la trei fotografii. La antrenare, la fiecare epocă (o trecere completă prin setul de antrenare) se alege aleatoriu o singură imagine a cazului, pentru a crește varietatea imaginilor văzute de model. La validare și testare se folosește întotdeauna imaginea principală (</w:t>
      </w:r>
      <w:r>
        <w:rPr>
          <w:rFonts w:ascii="Courier New" w:hAnsi="Courier New" w:eastAsia="Courier New" w:cs="Courier New"/>
          <w:sz w:val="21"/>
        </w:rPr>
        <w:t>image_1_path</w:t>
      </w:r>
      <w:r>
        <w:t xml:space="preserve">), astfel încât evaluarea să fie exact reproductibilă. Alegerea aleatorie este derivată din seed, epocă și indexul cazului, deci dă același rezultat indiferent de numărul de procese de încărcare. Dacă un fișier lipsește sau este corupt, se încearcă o altă imagine a aceluiași caz; dacă niciuna nu poate fi citită, se returnează o imagine neagră marcată prin </w:t>
      </w:r>
      <w:r>
        <w:rPr>
          <w:rFonts w:ascii="Courier New" w:hAnsi="Courier New" w:eastAsia="Courier New" w:cs="Courier New"/>
          <w:sz w:val="21"/>
        </w:rPr>
        <w:t>image_ok = 0</w:t>
      </w:r>
      <w:r>
        <w:t>, iar antrenarea nu se oprește.</w:t>
      </w:r>
    </w:p>
    <w:p>
      <w:pPr>
        <w:ind w:firstLine="709"/>
        <w:jc w:val="both"/>
      </w:pPr>
      <w:r>
        <w:t xml:space="preserve">Augmentarea înseamnă modificarea aleatorie a imaginilor de antrenare pentru ca modelul să nu memoreze exemplele și să se descurce la fotografii făcute în condiții diferite. Se aplică exclusiv pe setul de antrenare: oglindire orizontală (probabilitate 0,5), deplasare, scalare și rotire (deplasare până la 6%, scalare între 0,9 și 1,1, rotire până la 15°) și variație de culoare (luminozitate, contrast și saturație cu ±0,2, nuanță cu ±0,02). Variația nuanței este intenționat foarte mică, deoarece culoarea pielii este variabila pe care se măsoară echitatea și nu trebuie distorsionată. Toate seturile sunt aduse la 224×224 pixeli păstrând proporțiile: latura mai lungă este scalată la 224 de pixeli, iar spațiul rămas este completat cu negru (letterbox). Majoritatea fotografiilor SCIN sunt în format portret 3:4, iar întinderea lor la un pătrat ar deforma leziunile. Imaginile sunt apoi normalizate cu media (0,485; 0,456; 0,406) și abaterea standard (0,229; 0,224; 0,225) ale setului ImageNet, valorile cu care au fost antrenate rețelele preantrenate; validarea și testarea nu primesc nicio augmentare în afară de aceste operații. Parametrii se află în </w:t>
      </w:r>
      <w:r>
        <w:rPr>
          <w:rFonts w:ascii="Courier New" w:hAnsi="Courier New" w:eastAsia="Courier New" w:cs="Courier New"/>
          <w:sz w:val="21"/>
        </w:rPr>
        <w:t>ml/configs/base.yaml</w:t>
      </w:r>
      <w:r>
        <w:t xml:space="preserve">, iar funcția </w:t>
      </w:r>
      <w:r>
        <w:rPr>
          <w:rFonts w:ascii="Courier New" w:hAnsi="Courier New" w:eastAsia="Courier New" w:cs="Courier New"/>
          <w:sz w:val="21"/>
        </w:rPr>
        <w:t>seed_everything</w:t>
      </w:r>
      <w:r>
        <w:t xml:space="preserve"> (</w:t>
      </w:r>
      <w:r>
        <w:rPr>
          <w:rFonts w:ascii="Courier New" w:hAnsi="Courier New" w:eastAsia="Courier New" w:cs="Courier New"/>
          <w:sz w:val="21"/>
        </w:rPr>
        <w:t>ml/utils/seed.py</w:t>
      </w:r>
      <w:r>
        <w:t>) fixează generatoarele aleatorii din Python, NumPy și PyTorch pentru reproductibilitate.</w:t>
      </w:r>
    </w:p>
    <w:p>
      <w:pPr>
        <w:pStyle w:val="Heading2"/>
      </w:pPr>
      <w:r>
        <w:t>5.8 Modelul și fuziunea multimodală</w:t>
      </w:r>
    </w:p>
    <w:p>
      <w:pPr>
        <w:ind w:firstLine="709"/>
        <w:jc w:val="both"/>
      </w:pPr>
      <w:r>
        <w:t>Modelul combină două ramuri printr-o fuziune târzie (late fusion), adică ramurile sunt procesate separat și informațiile lor se unesc abia înainte de decizia finală (</w:t>
      </w:r>
      <w:r>
        <w:rPr>
          <w:rFonts w:ascii="Courier New" w:hAnsi="Courier New" w:eastAsia="Courier New" w:cs="Courier New"/>
          <w:sz w:val="21"/>
        </w:rPr>
        <w:t>ml/models/fusion_model.py</w:t>
      </w:r>
      <w:r>
        <w:t xml:space="preserve">, clasa </w:t>
      </w:r>
      <w:r>
        <w:rPr>
          <w:rFonts w:ascii="Courier New" w:hAnsi="Courier New" w:eastAsia="Courier New" w:cs="Courier New"/>
          <w:sz w:val="21"/>
        </w:rPr>
        <w:t>LateFusionNet</w:t>
      </w:r>
      <w:r>
        <w:t>). Ramura de imagine este aceeași rețea ca la modelul doar cu imagine, EfficientNet-B0 [7] sau MobileNetV3-Large, din biblioteca timm [8] cu ponderi preantrenate pe ImageNet (învățare prin transfer: rețeaua pornește de la ce a învățat deja pe un set mare de imagini și este reantrenată pe SCIN), fără stratul de clasificare; ieșirea ei este vectorul de trăsături obținut prin medierea hărților de activare (1.280 de valori). Ramura chestionarului este o rețea cu două straturi de câte 64 de unități, care primește vectorul de 40 de trăsături alăturat măștii de 6 valori (46 de numere). Dacă chestionarul lipsește complet, modelul primește trăsături 0 și toate valorile măștii egale cu 1, aceeași reprezentare ca la antrenare, deci un chestionar absent nu este confundat cu unul completat cu răspunsuri 0. În varianta de bază (concat), cele două ieșiri se concatenează și trec printr-un strat final care produce scorul pentru fiecare dintre cele patru categorii.</w:t>
      </w:r>
    </w:p>
    <w:p>
      <w:pPr>
        <w:ind w:firstLine="709"/>
        <w:jc w:val="both"/>
      </w:pPr>
      <w:r>
        <w:t>Pentru robustețea la răspunsuri lipsă se folosește modality dropout: în timpul antrenării, pentru fiecare exemplu chestionarul este ascuns în întregime cu probabilitate 0,3, iar fiecare câmp este ascuns separat cu probabilitate 0,15. Un câmp ascuns primește trăsături 0 și masca 1, exact ca un răspuns lipsă real, deci modelul învață să se descurce și fără chestionar. Cum categoriile sunt dezechilibrate, pierderea (loss, măsura erorii pe care o minimizează antrenarea) este entropia încrucișată ponderată invers proporțional cu frecvența clasei. Modelul cu fuziune este antrenat cu exact aceleași trei etape ca modelul doar cu imagine (descrise mai jos), cu optimizatorul AdamW [9], descreștere cosinusoidală a ratei de învățare [10] și precizie mixtă pe GPU, astfel încât singura diferență dintre cele două modele este chestionarul. Ramura chestionarului și straturile de fuziune sunt noi, deci se antrenează în toate etapele, cu rata stratului de clasificare. Se păstrează punctul de control (checkpoint) cu cel mai bun macro-F1 pe setul de validare.</w:t>
      </w:r>
    </w:p>
    <w:p>
      <w:pPr>
        <w:ind w:firstLine="709"/>
        <w:jc w:val="both"/>
      </w:pPr>
      <w:r>
        <w:t>Antrenarea este realizată de un motor reutilizabil (ml/engine.py) care nu depinde de arhitectura modelului: aceleași funcții de antrenare și evaluare servesc atât modelul doar cu imagine, cât și modelul cu fuziune. Funcția de pierdere poate fi entropia încrucișată ponderată pe clase sau pierderea focală (focal loss) [11], care reduce contribuția exemplelor ușoare, sigure, pentru ca antrenarea să se concentreze pe cele dificile și rare; cele două variante se compară ca ablație. Antrenarea folosește precizie mixtă automată (AMP), adică calcule în precizie redusă pe GPU pentru viteză. Criteriul de oprire și de salvare a punctului de control este macro-F1 pe validare, nu acuratețea simplă, care ar fi înșelătoare la clase dezechilibrate; antrenarea se oprește timpuriu (early stopping) dacă macro-F1 nu se îmbunătățește timp de 5 epoci consecutive. Pentru fiecare epocă se înregistrează pierderea de antrenare, pierderea de validare, macro-F1 și durata (fișierul log.csv).</w:t>
      </w:r>
    </w:p>
    <w:p>
      <w:pPr>
        <w:ind w:firstLine="709"/>
        <w:jc w:val="both"/>
      </w:pPr>
      <w:r>
        <w:t>Modelul de referință doar cu imagine (</w:t>
      </w:r>
      <w:r>
        <w:rPr>
          <w:rFonts w:ascii="Courier New" w:hAnsi="Courier New" w:eastAsia="Courier New" w:cs="Courier New"/>
          <w:sz w:val="21"/>
        </w:rPr>
        <w:t>ml/models/image_model.py</w:t>
      </w:r>
      <w:r>
        <w:t>) este evaluat cu două rețele preantrenate: EfficientNet-B0 [7] și MobileNetV3-Large [13], o rețea mai mică, proiectată pentru telefoane mobile, deci relevantă pentru o aplicație mobilă. Stratul de clasificare ImageNet (1.000 de clase) este înlocuit cu unul nou, cu patru ieșiri, inițializat cu ponderi mici, astfel încât la început modelul să atribuie probabilități aproape egale celor patru categorii; inițializarea implicită a bibliotecii pornea de la scoruri foarte mari și de la o pierdere de aproximativ 4,5 în loc de circa 1,4.</w:t>
      </w:r>
    </w:p>
    <w:p>
      <w:pPr>
        <w:ind w:firstLine="709"/>
        <w:jc w:val="both"/>
      </w:pPr>
      <w:r>
        <w:t>Rețeaua este reantrenată în trei etape (staged fine-tuning), pentru a evita uitarea catastrofală (catastrophic forgetting), adică pierderea trăsăturilor utile învățate pe ImageNet atunci când toate straturile sunt modificate brusc de gradienții mari ai unui strat de clasificare încă neantrenat. În etapa 1 se antrenează doar stratul de clasificare (rata de învățare 10⁻³), restul rețelei fiind înghețat (parametrii nu se modifică). În etapa 2 se deblochează și ultimele două blocuri ale rețelei, împreună cu stratul convoluțional final, cu o rată de învățare de 10 ori mai mică decât a stratului de clasificare (3·10⁻⁴ pentru clasificator, 3·10⁻⁵ pentru rețea). În etapa 3, opțională, se antrenează toți parametrii cu o rată și mai mică (10⁻⁴, respectiv 10⁻⁵). Fiecare etapă pornește de la cel mai bun punct de control de până atunci și are propriul criteriu de oprire timpurie. Straturile de normalizare pe lot (batch normalization) care sunt înghețate rămân în modul de evaluare, astfel încât statisticile lor, calculate pe ImageNet, nu sunt suprascrise. Pentru o comparație corectă cu modelul cu chestionar, aceeași procedură în etape trebuie aplicată și modelului cu fuziune.</w:t>
      </w:r>
    </w:p>
    <w:p>
      <w:pPr>
        <w:ind w:firstLine="709"/>
        <w:jc w:val="both"/>
      </w:pPr>
      <w:r>
        <w:t xml:space="preserve">Modelul de referință doar cu imagine reprezintă primul braț al experimentului E1 și este rulat de scriptul </w:t>
      </w:r>
      <w:r>
        <w:rPr>
          <w:rFonts w:ascii="Courier New" w:hAnsi="Courier New" w:eastAsia="Courier New" w:cs="Courier New"/>
          <w:sz w:val="21"/>
        </w:rPr>
        <w:t>ml/run_image_only.py</w:t>
      </w:r>
      <w:r>
        <w:t xml:space="preserve"> pe toate cele cinci variante de împărțire (seed-urile 0–4). Un seed este numărul care inițializează generatorul de numere aleatoare; fiecare seed are propria împărțire pe cazuri, propria ordine a exemplelor și propria augmentare, deci repetarea pe cinci seed-uri arată cât de mult variază rezultatul doar din cauza hazardului. Pentru fiecare seed se antrenează modelul în cele trei etape, se păstrează punctul de control (checkpoint, adică ponderile salvate ale rețelei) cu cel mai bun macro-F1 pe validare, iar acesta este testat o singură dată. Predicțiile de test sunt evaluate cu </w:t>
      </w:r>
      <w:r>
        <w:rPr>
          <w:rFonts w:ascii="Courier New" w:hAnsi="Courier New" w:eastAsia="Courier New" w:cs="Courier New"/>
          <w:sz w:val="21"/>
        </w:rPr>
        <w:t>ml/evaluate.py</w:t>
      </w:r>
      <w:r>
        <w:t xml:space="preserve">, iar rezultatele celor cinci seed-uri sunt raportate ca medie ± abatere standard (abaterea standard măsoară cât de împrăștiate sunt cele cinci valori în jurul mediei), în fișierul </w:t>
      </w:r>
      <w:r>
        <w:rPr>
          <w:rFonts w:ascii="Courier New" w:hAnsi="Courier New" w:eastAsia="Courier New" w:cs="Courier New"/>
          <w:sz w:val="21"/>
        </w:rPr>
        <w:t>e1_image_only_test.csv</w:t>
      </w:r>
      <w:r>
        <w:t>.</w:t>
      </w:r>
    </w:p>
    <w:p>
      <w:pPr>
        <w:ind w:firstLine="709"/>
        <w:jc w:val="both"/>
      </w:pPr>
      <w:r>
        <w:t>Dezechilibrul claselor înseamnă că unele categorii au mult mai multe exemple decât altele: în setul de antrenare al seed-ului 0 sunt 748 de cazuri eczema_dermatitis, 387 normal_other, 101 acne și doar 30 redness_rosacea. Fără corecție, rețeaua ar învăța în principal clasa majoritară. Două corecții uzuale [17] sunt comparate printr-un studiu de ablație (ablation study), adică un experiment în care se schimbă o singură componentă și restul rămâne identic, pentru a vedea efectul acelei componente. (a) Pierderea ponderată pe clase: entropia încrucișată primește pentru fiecare clasă o pondere invers proporțională cu frecvența ei (numărul total de cazuri împărțit la numărul de clase înmulțit cu numărul de cazuri ale clasei; la seed-ul 0, de exemplu, 10,6 pentru redness_rosacea și 0,42 pentru eczema_dermatitis), iar exemplele sunt parcurse în ordine aleatoare, fiecare o dată pe epocă. (b) Eșantionarea ponderată (WeightedRandomSampler [18]): pierderea nu este ponderată, dar cazurile sunt extrase cu înlocuire (același caz poate fi extras de mai multe ori în aceeași epocă) cu probabilitatea invers proporțională cu numărul de cazuri al clasei lor, astfel încât fiecare clasă ocupă în medie un sfert din extrageri. Cele două corecții nu sunt folosite niciodată împreună, deoarece ar compensa dezechilibrul de două ori.</w:t>
      </w:r>
    </w:p>
    <w:p>
      <w:pPr>
        <w:ind w:firstLine="709"/>
        <w:jc w:val="both"/>
      </w:pPr>
      <w:r>
        <w:t>La eșantionarea ponderată, un caz rar este extras de aproximativ zece ori pe epocă (redness_rosacea: 30 de cazuri pentru circa 316 extrageri). Deoarece imaginea și augmentarea unui caz depind de seed, de epocă și de caz, toate copiile ar fi fost identice; scriptul numerotează extragerile repetate și fiecare repetare primește propria imagine a cazului (dacă are mai multe) și propria augmentare. Prima extragere rămâne identică cu cea din varianta (a), deci singura diferență dintre cele două variante este metoda de corecție. Riscul cunoscut al eșantionării este supraînvățarea (overfitting) pe puținele cazuri rare, adică memorarea lor în locul învățării unor trăsături generale; validarea pe macro-F1 și oprirea timpurie limitează acest risc. Ablația se rulează pentru ambele rețele (EfficientNet-B0 și MobileNetV3-Large), iar varianta cu cel mai bun macro-F1 mediu pe validare devine referința doar cu imagine din E1.</w:t>
      </w:r>
    </w:p>
    <w:p>
      <w:pPr>
        <w:ind w:firstLine="709"/>
        <w:jc w:val="both"/>
      </w:pPr>
      <w:r>
        <w:t>Al doilea braț al experimentului E1 este modelul doar cu chestionar (</w:t>
      </w:r>
      <w:r>
        <w:rPr>
          <w:rFonts w:ascii="Courier New" w:hAnsi="Courier New" w:eastAsia="Courier New" w:cs="Courier New"/>
          <w:sz w:val="21"/>
        </w:rPr>
        <w:t>ml/models/q_model.py</w:t>
      </w:r>
      <w:r>
        <w:t xml:space="preserve">, rulat de </w:t>
      </w:r>
      <w:r>
        <w:rPr>
          <w:rFonts w:ascii="Courier New" w:hAnsi="Courier New" w:eastAsia="Courier New" w:cs="Courier New"/>
          <w:sz w:val="21"/>
        </w:rPr>
        <w:t>ml/run_q_only.py</w:t>
      </w:r>
      <w:r>
        <w:t>), care arată cât semnal conține chestionarul singur, fără fotografie. Este un perceptron multistrat (multilayer perceptron, MLP) [25]: o rețea formată din straturi liniare succesive, fiecare urmat de o funcție de activare ReLU (care păstrează valorile pozitive și le înlocuiește pe cele negative cu 0) și de dropout 0,2 (în antrenare, 20% dintre neuroni sunt ignorați la întâmplare, ca rețeaua să nu memoreze exemplele). Intrarea este vectorul răspunsurilor codificate (40 de valori) alăturat măștii de valori lipsă (6 valori, câte una pe întrebare), astfel încât rețeaua poate deosebi un răspuns „nu” de o întrebare la care nu s-a răspuns; urmează două straturi ascunse de câte 64 de neuroni și un strat de ieșire cu patru valori. Modelul folosește exact aceleași cazuri, împărțiri, seed-uri, pierdere ponderată pe clase, oprire timpurie pe macro-F1 de validare și protocol de evaluare ca modelul cu imagine. Setul de test este evaluat și cu o proporție r din răspunsuri ascunse (r = 0; 0,25; 0,5; 0,75; 1), iar răspunsurile ascunse sunt exact aceleași ca la evaluarea modelului cu fuziune, deci curbele pot fi comparate direct.</w:t>
      </w:r>
    </w:p>
    <w:p>
      <w:pPr>
        <w:ind w:firstLine="709"/>
        <w:jc w:val="both"/>
      </w:pPr>
      <w:r>
        <w:t>Pe lângă concatenare, sunt implementate două variante de fuziune mai puternice, care permit chestionarului să influențeze felul în care este folosită imaginea. (1) Fuziunea cu poartă (gated multimodal unit) [26]: ambele ramuri sunt proiectate la aceeași dimensiune (256), iar o poartă, adică un vector de valori între 0 și 1 calculat din ambele ramuri, decide pentru fiecare dimensiune cât provine din imagine și cât din chestionar. Când masca arată că lipsesc răspunsurile, poarta poate învăța să se bazeze pe fotografie; valoarea medie a porții poate fi inspectată pentru fiecare caz. (2) Condiționarea de tip FiLM (Feature-wise Linear Modulation) [27]: chestionarul produce doi vectori, γ și β, care scalează și deplasează fiecare trăsătură a imaginii (f' = f·(1 + γ) + β). γ și β pornesc de la 0, deci la începutul antrenării modelul se comportă exact ca modelul doar cu imagine. Varianta este aleasă din configurație (</w:t>
      </w:r>
      <w:r>
        <w:rPr>
          <w:rFonts w:ascii="Courier New" w:hAnsi="Courier New" w:eastAsia="Courier New" w:cs="Courier New"/>
          <w:sz w:val="21"/>
        </w:rPr>
        <w:t>fusion.variant</w:t>
      </w:r>
      <w:r>
        <w:t xml:space="preserve">), iar modelele antrenate sunt salvate ca </w:t>
      </w:r>
      <w:r>
        <w:rPr>
          <w:rFonts w:ascii="Courier New" w:hAnsi="Courier New" w:eastAsia="Courier New" w:cs="Courier New"/>
          <w:sz w:val="21"/>
        </w:rPr>
        <w:t>fusion_late_&lt;variantă&gt;_seed&lt;k&gt;.pt</w:t>
      </w:r>
      <w:r>
        <w:t xml:space="preserve"> de scriptul </w:t>
      </w:r>
      <w:r>
        <w:rPr>
          <w:rFonts w:ascii="Courier New" w:hAnsi="Courier New" w:eastAsia="Courier New" w:cs="Courier New"/>
          <w:sz w:val="21"/>
        </w:rPr>
        <w:t>ml/run_fusion.py</w:t>
      </w:r>
      <w:r>
        <w:t>.</w:t>
      </w:r>
    </w:p>
    <w:p>
      <w:pPr>
        <w:pStyle w:val="Heading2"/>
      </w:pPr>
      <w:r>
        <w:t>5.9 Explicabilitate (Grad-CAM)</w:t>
      </w:r>
    </w:p>
    <w:p>
      <w:pPr>
        <w:jc w:val="both"/>
      </w:pPr>
      <w:r>
        <w:rPr>
          <w:highlight w:val="yellow"/>
        </w:rPr>
        <w:t>[De redactat.]</w:t>
      </w:r>
    </w:p>
    <w:p>
      <w:pPr>
        <w:pStyle w:val="Heading2"/>
      </w:pPr>
      <w:r>
        <w:t>5.10 Protocolul de evaluare</w:t>
      </w:r>
    </w:p>
    <w:p>
      <w:pPr>
        <w:ind w:firstLine="709"/>
        <w:jc w:val="both"/>
      </w:pPr>
      <w:r>
        <w:t>Evaluarea se face o singură dată pe setul de testare, cu ponderile alese pe validare. Metricile sunt macro-F1 (media scorului F1 pe clase, care tratează egal clasele mici și mari) și acuratețea echilibrată (media recall-ului pe clase), raportate global și separat pe grupele eFST (I–II, III–IV, V–VI, lipsă), împreună cu diferența maximă dintre grupele de ton (I–II, III–IV, V–VI; grupa „lipsă” nu este un ton). Într-o grupă, macro-F1 se calculează doar pe categoriile care apar în ea (de exemplu, redness_rosacea nu are cazuri V–VI în testare). Pentru fiecare valoare se raportează un interval de încredere de 95% obținut prin bootstrap [12], adică prin reeșantionarea repetată (de 1.000 de ori) a cazurilor de test cu înlocuire; intervalele arată cât de sigure sunt rezultatele pe grupele mici. Pentru întrebarea privind răspunsurile lipsă, modelul este testat cu 0%, 25%, 50%, 75% și 100% dintre câmpurile chestionarului ascunse (fiecare câmp independent, în plus față de răspunsurile care lipsesc deja în date; la 100% chestionarul este ascuns complet), și comparat cu modelul doar cu imagine. Fiecare configurație se rulează pentru cele cinci seed-uri (0–4), iar rezultatele se raportează ca medie și interval de variație. Scriptul este ml/train.py.</w:t>
      </w:r>
    </w:p>
    <w:p>
      <w:pPr>
        <w:ind w:firstLine="709"/>
        <w:jc w:val="both"/>
      </w:pPr>
      <w:r>
        <w:t xml:space="preserve">Evaluarea este realizată de scriptul </w:t>
      </w:r>
      <w:r>
        <w:rPr>
          <w:rFonts w:ascii="Courier New" w:hAnsi="Courier New" w:eastAsia="Courier New" w:cs="Courier New"/>
          <w:sz w:val="21"/>
        </w:rPr>
        <w:t>ml/evaluate.py</w:t>
      </w:r>
      <w:r>
        <w:t>, care citește un fișier standard de predicții (</w:t>
      </w:r>
      <w:r>
        <w:rPr>
          <w:rFonts w:ascii="Courier New" w:hAnsi="Courier New" w:eastAsia="Courier New" w:cs="Courier New"/>
          <w:sz w:val="21"/>
        </w:rPr>
        <w:t>predictions.csv</w:t>
      </w:r>
      <w:r>
        <w:t>, câte un rând pe caz, cu categoria reală, categoria prezisă, încrederea, eFST, eMST, seed-ul și proporția de răspunsuri ascunse). Pe lângă macro-F1 și acuratețea echilibrată, se raportează precizia, recall-ul și F1 pentru fiecare categorie. Precizia arată ce proporție dintre cazurile atribuite unei categorii aparțin cu adevărat ei, iar recall-ul ce proporție dintre cazurile unei categorii au fost găsite.</w:t>
      </w:r>
    </w:p>
    <w:p>
      <w:pPr>
        <w:ind w:firstLine="709"/>
        <w:jc w:val="both"/>
      </w:pPr>
      <w:r>
        <w:t>Calibrarea arată dacă încrederea modelului corespunde realității: un model bine calibrat care afirmă 80% încredere are dreptate în aproximativ 80% din cazuri. Încrederea este probabilitatea maximă dată de model unei categorii. Se măsoară prin eroarea de calibrare așteptată (Expected Calibration Error, ECE) [14]: predicțiile sunt împărțite în 15 intervale egale după încredere, iar ECE este media ponderată a diferenței dintre încrederea medie și acuratețea din fiecare interval. Pentru o aplicație informativă contează și curba risc-acoperire (risk-coverage) [15]: dacă aplicația răspunde doar când încrederea depășește un prag și altfel recomandă consultarea unui specialist, curba arată acuratețea obținută pentru fiecare proporție de cazuri la care răspunde (acoperire). Aria de sub curba riscului (AURC) rezumă curba într-un singur număr; o valoare mai mică este mai bună.</w:t>
      </w:r>
    </w:p>
    <w:p>
      <w:pPr>
        <w:ind w:firstLine="709"/>
        <w:jc w:val="both"/>
      </w:pPr>
      <w:r>
        <w:t>Echitatea este raportată pe ambele scale de ton, eFST (I–II, III–IV, V–VI) și eMST (1–3, 4–6, 7–10). Pentru fiecare scală se identifică grupul cel mai defavorizat (worst group) [16], adică grupul de ton cu cel mai mic macro-F1, împreună cu diferența față de grupul cel mai bun. Doar grupurile cu cel puțin 20 de cazuri pot fi desemnate astfel, deoarece pe grupuri mai mici estimarea este prea nesigură; grupurile excluse sunt menționate explicit. Intervalele de încredere bootstrap [12] reeșantionează cazuri (</w:t>
      </w:r>
      <w:r>
        <w:rPr>
          <w:rFonts w:ascii="Courier New" w:hAnsi="Courier New" w:eastAsia="Courier New" w:cs="Courier New"/>
          <w:sz w:val="21"/>
        </w:rPr>
        <w:t>case_id</w:t>
      </w:r>
      <w:r>
        <w:t>), nu rânduri: toate rândurile unui caz sunt păstrate împreună, astfel încât observațiile aceluiași caz nu sunt tratate ca independente. Rezultatele celor cinci seed-uri sunt rezumate prin medie, abatere standard, minim și maxim.</w:t>
      </w:r>
    </w:p>
    <w:p>
      <w:pPr>
        <w:pStyle w:val="Heading2"/>
      </w:pPr>
      <w:r>
        <w:t>5.11 Evaluarea externă și sonda liniară</w:t>
      </w:r>
    </w:p>
    <w:p>
      <w:pPr>
        <w:ind w:firstLine="709"/>
        <w:jc w:val="both"/>
      </w:pPr>
      <w:r>
        <w:t>Pentru a verifica dacă modelul doar cu imagine antrenat pe SCIN funcționează și pe fotografii provenite din alte surse, acesta este testat fără nicio reantrenare (evaluare externă, zero-shot) pe două seturi publice: DDI (Diverse Dermatology Images) [19], 656 de imagini clinice confirmate prin biopsie (examinarea la microscop a unei mostre de țesut), grupate pe tonuri Fitzpatrick I–II, III–IV și V–VI, și Fitzpatrick17k [20], 16.577 de imagini din atlase dermatologice online, cu 114 diagnostice și tipul Fitzpatrick 1–6. Niciunul nu are chestionar, deci se testează doar modelul cu imagine. Diferența dintre sursa de antrenare și cea de testare (alt aparat, altă încadrare, alte boli) se numește schimbare de domeniu (domain shift); scăderea performanței pe aceste seturi arată cât de mult depinde modelul de particularitățile SCIN.</w:t>
      </w:r>
    </w:p>
    <w:p>
      <w:pPr>
        <w:ind w:firstLine="709"/>
        <w:jc w:val="both"/>
      </w:pPr>
      <w:r>
        <w:t xml:space="preserve">Diagnosticele externe sunt aduse la cele patru categorii țintă cu același fișier </w:t>
      </w:r>
      <w:r>
        <w:rPr>
          <w:rFonts w:ascii="Courier New" w:hAnsi="Courier New" w:eastAsia="Courier New" w:cs="Courier New"/>
          <w:sz w:val="21"/>
        </w:rPr>
        <w:t>label_map.yaml</w:t>
      </w:r>
      <w:r>
        <w:t xml:space="preserve">, după normalizare (litere mici, cratima citită ca spațiu), plus o listă scurtă de sinonime pe set de date (de exemplu „acne vulgaris” → acne, „rhinophyma” → redness_rosacea). Fiecare rând primește un statut scris într-un raport: păstrat, categorie nețintă (de exemplu cancerele, care sunt </w:t>
      </w:r>
      <w:r>
        <w:rPr>
          <w:rFonts w:ascii="Courier New" w:hAnsi="Courier New" w:eastAsia="Courier New" w:cs="Courier New"/>
          <w:sz w:val="21"/>
        </w:rPr>
        <w:t>excluded</w:t>
      </w:r>
      <w:r>
        <w:t>), nemapat (diagnostic necunoscut, niciodată ghicit), etichetă greșită conform controlului de calitate al Fitzpatrick17k sau imagine lipsă; doar rândurile păstrate sunt evaluate. În Fitzpatrick17k, 4.012 imagini corespund categoriilor țintă (normal_other 1.892, eczema_dermatitis 1.009, acne 857, redness_rosacea 254), dar normal_other este dominată aici de psoriazis, deci compoziția categoriei diferă de SCIN. O limitare practică: majoritatea adreselor de imagini din Fitzpatrick17k (atlasul DermaAmin) nu mai funcționează, iar setul complet se obține de la autori prin formular. Imaginile nu sunt redistribuite (licența CC BY-NC-SA 3.0 pentru Fitzpatrick17k; condițiile Stanford AIMI pentru DDI). Tonul DDI 12 / 34 / 56 este tratat ca grupul eFST I–II / III–IV / V–VI, iar predicțiile tuturor celor cinci modele (câte unul pe seed) sunt evaluate cu același protocol ca pe SCIN.</w:t>
      </w:r>
    </w:p>
    <w:p>
      <w:pPr>
        <w:ind w:firstLine="709"/>
        <w:jc w:val="both"/>
      </w:pPr>
      <w:r>
        <w:t xml:space="preserve">Ca bază de comparație pentru experimentul E5 se folosește o sondă liniară (linear probe) [21]. Un model fundament (foundation model) este o rețea mare, preantrenată pe foarte multe imagini, ale cărei reprezentări pot fi refolosite pentru multe sarcini; în dermatologie, exemple sunt PanDerm [23] și DermLIP [24]. Rețeaua rămâne înghețată (ponderile ei nu se schimbă): pentru fiecare caz SCIN se calculează o singură dată vectorul de trăsături (features), adică lista de numere prin care rețeaua descrie imaginea, iar peste aceste trăsături se antrenează doar un strat liniar, echivalent cu o regresie logistică multinomială. Trăsăturile sunt standardizate (se scade media și se împarte la abaterea standard, calculate doar pe setul de antrenare), pierderea este entropia încrucișată ponderată pe clase, iar o penalizare L2 (suma pătratelor ponderilor, înmulțită cu o constantă) împiedică ponderile să devină prea mari; constanta este aleasă pe validare dintre 0 și 100. Evaluarea prin sondă liniară este metoda standard de comparare a reprezentărilor [22]: dacă o sondă simplă peste un model fundament egalează rețeaua reantrenată complet, avantajul vine din reprezentare, nu din antrenare. Scriptul </w:t>
      </w:r>
      <w:r>
        <w:rPr>
          <w:rFonts w:ascii="Courier New" w:hAnsi="Courier New" w:eastAsia="Courier New" w:cs="Courier New"/>
          <w:sz w:val="21"/>
        </w:rPr>
        <w:t>ml/foundation_probe.py</w:t>
      </w:r>
      <w:r>
        <w:t xml:space="preserve"> acceptă orice model timm, OpenCLIP sau Hugging Face, astfel încât ponderile PanDerm și DermLIP pot fi folosite fără modificarea codului.</w:t>
      </w:r>
    </w:p>
    <w:p>
      <w:pPr>
        <w:ind w:firstLine="709"/>
        <w:jc w:val="both"/>
      </w:pPr>
      <w:r>
        <w:t>Imaginile Fitzpatrick17k au fost obținute de la autori în baza unui acord prin care ele trebuie șterse la încheierea cercetării. De aceea sunt folosite exclusiv pentru testare, niciodată pentru antrenare, nu sunt redistribuite și nu apar în aplicație, în depozitul de cod sau în lucrare; se raportează doar rezultate agregate. Modelul livrat în aplicație este antrenat pe SCIN, a cărui licență permite reproducerea și adaptarea cu atribuire.</w:t>
      </w:r>
    </w:p>
    <w:p>
      <w:pPr>
        <w:pStyle w:val="Heading1"/>
      </w:pPr>
      <w:r>
        <w:t>Capitolul 6. Implementare</w:t>
      </w:r>
    </w:p>
    <w:p>
      <w:pPr>
        <w:jc w:val="both"/>
      </w:pPr>
      <w:r>
        <w:rPr>
          <w:highlight w:val="yellow"/>
        </w:rPr>
        <w:t>[De redactat: aplicația mobilă, serviciul de backend, serviciul ML, motorul de analiză a ingredientelor.]</w:t>
      </w:r>
    </w:p>
    <w:p>
      <w:pPr>
        <w:pStyle w:val="Heading1"/>
      </w:pPr>
      <w:r>
        <w:t>Capitolul 7. Securitate și GDPR</w:t>
      </w:r>
    </w:p>
    <w:p>
      <w:pPr>
        <w:jc w:val="both"/>
      </w:pPr>
      <w:r>
        <w:rPr>
          <w:highlight w:val="yellow"/>
        </w:rPr>
        <w:t>[De redactat: model de amenințări, autentificare, izolarea datelor per utilizator, controale, conformitate.]</w:t>
      </w:r>
    </w:p>
    <w:p>
      <w:pPr>
        <w:pStyle w:val="Heading1"/>
      </w:pPr>
      <w:r>
        <w:t>Capitolul 8. Testare și evaluare</w:t>
      </w:r>
    </w:p>
    <w:p>
      <w:pPr>
        <w:jc w:val="both"/>
      </w:pPr>
      <w:r>
        <w:rPr>
          <w:highlight w:val="yellow"/>
        </w:rPr>
        <w:t>[De completat: teste, celelalte rezultate ale modelului, feedback de la utilizatori.]</w:t>
      </w:r>
    </w:p>
    <w:p>
      <w:pPr>
        <w:pStyle w:val="Heading2"/>
      </w:pPr>
      <w:r>
        <w:t>8.1 Modelul doar cu chestionar (E1, brațul 2)</w:t>
      </w:r>
    </w:p>
    <w:p>
      <w:pPr>
        <w:ind w:firstLine="709"/>
        <w:jc w:val="both"/>
      </w:pPr>
      <w:r>
        <w:t>Pe cele cinci seed-uri, modelul doar cu chestionar obține pe test macro-F1 0,390 ± 0,038 (medie ± abatere standard), acuratețe echilibrată 0,443 ± 0,043 și ECE 0,083 ± 0,020 (Tabelul 8.1). Antrenarea durează 6–11 secunde pe seed, iar oprirea timpurie alege epoci între 16 și 51. Pe categorii, F1 este 0,569 pentru eczema_dermatitis, 0,429 pentru normal_other, 0,343 pentru redness_rosacea și 0,218 pentru acne. Pentru redness_rosacea setul de test are în medie doar 6 cazuri, deci valoarea este foarte nesigură (abatere standard 0,112). Chestionarul conține așadar semnal clar peste nivelul întâmplării, dar insuficient pentru a separa acneea, care pe baza răspunsurilor seamănă cu celelalte probleme.</w:t>
      </w:r>
    </w:p>
    <w:p>
      <w:pPr>
        <w:ind w:firstLine="709"/>
        <w:jc w:val="both"/>
      </w:pPr>
      <w:r>
        <w:t>Tabelul 8.1. Modelul doar cu chestionar pe test (5 seed-uri, medie ± abatere standard), după proporția de răspunsuri ascunse.</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 răspunsuri ascunse</w:t>
            </w:r>
          </w:p>
        </w:tc>
        <w:tc>
          <w:tcPr>
            <w:tcW w:type="dxa" w:w="3024"/>
          </w:tcPr>
          <w:p>
            <w:r>
              <w:rPr>
                <w:b/>
              </w:rPr>
              <w:t>Macro-F1</w:t>
            </w:r>
          </w:p>
        </w:tc>
        <w:tc>
          <w:tcPr>
            <w:tcW w:type="dxa" w:w="3024"/>
          </w:tcPr>
          <w:p>
            <w:r>
              <w:rPr>
                <w:b/>
              </w:rPr>
              <w:t>Acuratețe echilibrată</w:t>
            </w:r>
          </w:p>
        </w:tc>
      </w:tr>
      <w:tr>
        <w:tc>
          <w:tcPr>
            <w:tcW w:type="dxa" w:w="3024"/>
          </w:tcPr>
          <w:p>
            <w:r>
              <w:t>0 (naturale)</w:t>
            </w:r>
          </w:p>
        </w:tc>
        <w:tc>
          <w:tcPr>
            <w:tcW w:type="dxa" w:w="3024"/>
          </w:tcPr>
          <w:p>
            <w:r>
              <w:t>0,390 ± 0,038</w:t>
            </w:r>
          </w:p>
        </w:tc>
        <w:tc>
          <w:tcPr>
            <w:tcW w:type="dxa" w:w="3024"/>
          </w:tcPr>
          <w:p>
            <w:r>
              <w:t>0,443 ± 0,043</w:t>
            </w:r>
          </w:p>
        </w:tc>
      </w:tr>
      <w:tr>
        <w:tc>
          <w:tcPr>
            <w:tcW w:type="dxa" w:w="3024"/>
          </w:tcPr>
          <w:p>
            <w:r>
              <w:t>25</w:t>
            </w:r>
          </w:p>
        </w:tc>
        <w:tc>
          <w:tcPr>
            <w:tcW w:type="dxa" w:w="3024"/>
          </w:tcPr>
          <w:p>
            <w:r>
              <w:t>0,325 ± 0,038</w:t>
            </w:r>
          </w:p>
        </w:tc>
        <w:tc>
          <w:tcPr>
            <w:tcW w:type="dxa" w:w="3024"/>
          </w:tcPr>
          <w:p>
            <w:r>
              <w:t>-</w:t>
            </w:r>
          </w:p>
        </w:tc>
      </w:tr>
      <w:tr>
        <w:tc>
          <w:tcPr>
            <w:tcW w:type="dxa" w:w="3024"/>
          </w:tcPr>
          <w:p>
            <w:r>
              <w:t>50</w:t>
            </w:r>
          </w:p>
        </w:tc>
        <w:tc>
          <w:tcPr>
            <w:tcW w:type="dxa" w:w="3024"/>
          </w:tcPr>
          <w:p>
            <w:r>
              <w:t>0,264 ± 0,047</w:t>
            </w:r>
          </w:p>
        </w:tc>
        <w:tc>
          <w:tcPr>
            <w:tcW w:type="dxa" w:w="3024"/>
          </w:tcPr>
          <w:p>
            <w:r>
              <w:t>-</w:t>
            </w:r>
          </w:p>
        </w:tc>
      </w:tr>
      <w:tr>
        <w:tc>
          <w:tcPr>
            <w:tcW w:type="dxa" w:w="3024"/>
          </w:tcPr>
          <w:p>
            <w:r>
              <w:t>75</w:t>
            </w:r>
          </w:p>
        </w:tc>
        <w:tc>
          <w:tcPr>
            <w:tcW w:type="dxa" w:w="3024"/>
          </w:tcPr>
          <w:p>
            <w:r>
              <w:t>0,221 ± 0,037</w:t>
            </w:r>
          </w:p>
        </w:tc>
        <w:tc>
          <w:tcPr>
            <w:tcW w:type="dxa" w:w="3024"/>
          </w:tcPr>
          <w:p>
            <w:r>
              <w:t>-</w:t>
            </w:r>
          </w:p>
        </w:tc>
      </w:tr>
      <w:tr>
        <w:tc>
          <w:tcPr>
            <w:tcW w:type="dxa" w:w="3024"/>
          </w:tcPr>
          <w:p>
            <w:r>
              <w:t>100</w:t>
            </w:r>
          </w:p>
        </w:tc>
        <w:tc>
          <w:tcPr>
            <w:tcW w:type="dxa" w:w="3024"/>
          </w:tcPr>
          <w:p>
            <w:r>
              <w:t>0,145 ± 0,037</w:t>
            </w:r>
          </w:p>
        </w:tc>
        <w:tc>
          <w:tcPr>
            <w:tcW w:type="dxa" w:w="3024"/>
          </w:tcPr>
          <w:p>
            <w:r>
              <w:t>0,250 ± 0,000</w:t>
            </w:r>
          </w:p>
        </w:tc>
      </w:tr>
    </w:tbl>
    <w:p>
      <w:pPr>
        <w:ind w:firstLine="709"/>
        <w:jc w:val="both"/>
      </w:pPr>
      <w:r>
        <w:t>Când răspunsurile sunt ascunse, performanța scade constant: macro-F1 0,390 cu răspunsurile naturale, 0,325 cu 25% ascunse, 0,264 cu 50%, 0,221 cu 75% și 0,145 cu toate ascunse. Fără niciun răspuns, modelul dă aceeași categorie tuturor cazurilor (la seed-ul 0, normal_other), iar acuratețea echilibrată este exact 0,250, adică nivelul întâmplării pentru patru categorii. Acest rezultat confirmă că masca de valori lipsă funcționează așa cum s-a proiectat: un chestionar gol nu aduce nicio informație falsă.</w:t>
      </w:r>
    </w:p>
    <w:p>
      <w:pPr>
        <w:ind w:firstLine="709"/>
        <w:jc w:val="both"/>
      </w:pPr>
      <w:r>
        <w:t>Pe tonuri de piele (eFST), macro-F1 este 0,401 ± 0,045 pentru I–II (117 cazuri în medie), 0,342 ± 0,100 pentru III–IV (120 de cazuri) și 0,475 ± 0,131 pentru V–VI (23 de cazuri). Grupul cel mai defavorizat este III–IV la trei seed-uri și I–II la două, cu macro-F1 mediu 0,319 ± 0,067. Valoarea mai mare pentru V–VI nu trebuie interpretată ca un avantaj: grupul are puțin peste 20 de cazuri, iar abaterea standard între seed-uri (0,131) este mai mare decât diferențele dintre grupuri. Aceste valori sunt referința inferioară cu care vor fi comparate modelul doar cu imagine și modelul cu fuziune (RQ1).</w:t>
      </w:r>
    </w:p>
    <w:p>
      <w:pPr>
        <w:pStyle w:val="Heading2"/>
      </w:pPr>
      <w:r>
        <w:t>8.2 Imagine, fuziune și chestionar: prima comparație (E1)</w:t>
      </w:r>
    </w:p>
    <w:p>
      <w:pPr>
        <w:ind w:firstLine="709"/>
        <w:jc w:val="both"/>
      </w:pPr>
      <w:r>
        <w:t>Prima comparație completă a experimentului E1 folosește EfficientNet-B0, pierderea ponderată pe clase și aceleași cinci seed-uri pentru toate cele trei brațe (Tabelul 8.2). Modelul doar cu imagine obține macro-F1 0,537 ± 0,038, modelul cu fuziune prin concatenare 0,516 ± 0,057, iar modelul doar cu chestionar 0,390 ± 0,038. Pentru a compara două modele pe aceleași seed-uri se folosește un test pereche (paired test): pentru fiecare seed se calculează diferența dintre cele două modele, iar testul verifică dacă media diferențelor este diferită de 0. Diferența fuziune minus imagine este −0,021 ± 0,031, iar testul t pereche [28] dă p = 0,20 (testul Wilcoxon, care nu presupune o distribuție normală, dă p = 0,31). Valoarea p este probabilitatea de a obține o diferență cel puțin atât de mare dacă, în realitate, modelele ar fi la fel de bune; o valoare peste 0,05 înseamnă că diferența nu este semnificativă statistic. Cu doar cinci seed-uri testul are putere mică, deci rezultatul arată că, în această configurație, chestionarul nu îmbunătățește clasificarea, nu că o înrăutățește.</w:t>
      </w:r>
    </w:p>
    <w:p>
      <w:pPr>
        <w:ind w:firstLine="709"/>
        <w:jc w:val="both"/>
      </w:pPr>
      <w:r>
        <w:t>Tabelul 8.2. Rezultate pe test ale celor trei brațe E1 (medie ± abatere standard pe 5 seed-uri, toate răspunsurile disponibile).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 (EfficientNet-B0, 5 seed-uri)</w:t>
            </w:r>
          </w:p>
        </w:tc>
        <w:tc>
          <w:tcPr>
            <w:tcW w:type="dxa" w:w="1814"/>
          </w:tcPr>
          <w:p>
            <w:r>
              <w:rPr>
                <w:b/>
              </w:rPr>
              <w:t>Macro-F1</w:t>
            </w:r>
          </w:p>
        </w:tc>
        <w:tc>
          <w:tcPr>
            <w:tcW w:type="dxa" w:w="1814"/>
          </w:tcPr>
          <w:p>
            <w:r>
              <w:rPr>
                <w:b/>
              </w:rPr>
              <w:t>Acuratețe echilibrată</w:t>
            </w:r>
          </w:p>
        </w:tc>
        <w:tc>
          <w:tcPr>
            <w:tcW w:type="dxa" w:w="1814"/>
          </w:tcPr>
          <w:p>
            <w:r>
              <w:rPr>
                <w:b/>
              </w:rPr>
              <w:t>ECE</w:t>
            </w:r>
          </w:p>
        </w:tc>
        <w:tc>
          <w:tcPr>
            <w:tcW w:type="dxa" w:w="1814"/>
          </w:tcPr>
          <w:p>
            <w:r>
              <w:rPr>
                <w:b/>
              </w:rPr>
              <w:t>eFST V–VI macro-F1</w:t>
            </w:r>
          </w:p>
        </w:tc>
      </w:tr>
      <w:tr>
        <w:tc>
          <w:tcPr>
            <w:tcW w:type="dxa" w:w="1814"/>
          </w:tcPr>
          <w:p>
            <w:r>
              <w:t>Doar imagine</w:t>
            </w:r>
          </w:p>
        </w:tc>
        <w:tc>
          <w:tcPr>
            <w:tcW w:type="dxa" w:w="1814"/>
          </w:tcPr>
          <w:p>
            <w:r>
              <w:t>0,537 ± 0,038</w:t>
            </w:r>
          </w:p>
        </w:tc>
        <w:tc>
          <w:tcPr>
            <w:tcW w:type="dxa" w:w="1814"/>
          </w:tcPr>
          <w:p>
            <w:r>
              <w:t>0,624 ± 0,044</w:t>
            </w:r>
          </w:p>
        </w:tc>
        <w:tc>
          <w:tcPr>
            <w:tcW w:type="dxa" w:w="1814"/>
          </w:tcPr>
          <w:p>
            <w:r>
              <w:t>0,070 ± 0,012</w:t>
            </w:r>
          </w:p>
        </w:tc>
        <w:tc>
          <w:tcPr>
            <w:tcW w:type="dxa" w:w="1814"/>
          </w:tcPr>
          <w:p>
            <w:r>
              <w:t>0,490 ± 0,175</w:t>
            </w:r>
          </w:p>
        </w:tc>
      </w:tr>
      <w:tr>
        <w:tc>
          <w:tcPr>
            <w:tcW w:type="dxa" w:w="1814"/>
          </w:tcPr>
          <w:p>
            <w:r>
              <w:t>Fuziune (concat)</w:t>
            </w:r>
          </w:p>
        </w:tc>
        <w:tc>
          <w:tcPr>
            <w:tcW w:type="dxa" w:w="1814"/>
          </w:tcPr>
          <w:p>
            <w:r>
              <w:t>0,516 ± 0,057</w:t>
            </w:r>
          </w:p>
        </w:tc>
        <w:tc>
          <w:tcPr>
            <w:tcW w:type="dxa" w:w="1814"/>
          </w:tcPr>
          <w:p>
            <w:r>
              <w:t>0,595 ± 0,038</w:t>
            </w:r>
          </w:p>
        </w:tc>
        <w:tc>
          <w:tcPr>
            <w:tcW w:type="dxa" w:w="1814"/>
          </w:tcPr>
          <w:p>
            <w:r>
              <w:t>0,088 ± 0,056</w:t>
            </w:r>
          </w:p>
        </w:tc>
        <w:tc>
          <w:tcPr>
            <w:tcW w:type="dxa" w:w="1814"/>
          </w:tcPr>
          <w:p>
            <w:r>
              <w:t>0,445 ± 0,085</w:t>
            </w:r>
          </w:p>
        </w:tc>
      </w:tr>
      <w:tr>
        <w:tc>
          <w:tcPr>
            <w:tcW w:type="dxa" w:w="1814"/>
          </w:tcPr>
          <w:p>
            <w:r>
              <w:t>Doar chestionar</w:t>
            </w:r>
          </w:p>
        </w:tc>
        <w:tc>
          <w:tcPr>
            <w:tcW w:type="dxa" w:w="1814"/>
          </w:tcPr>
          <w:p>
            <w:r>
              <w:t>0,390 ± 0,038</w:t>
            </w:r>
          </w:p>
        </w:tc>
        <w:tc>
          <w:tcPr>
            <w:tcW w:type="dxa" w:w="1814"/>
          </w:tcPr>
          <w:p>
            <w:r>
              <w:t>0,443 ± 0,043</w:t>
            </w:r>
          </w:p>
        </w:tc>
        <w:tc>
          <w:tcPr>
            <w:tcW w:type="dxa" w:w="1814"/>
          </w:tcPr>
          <w:p>
            <w:r>
              <w:t>0,083 ± 0,020</w:t>
            </w:r>
          </w:p>
        </w:tc>
        <w:tc>
          <w:tcPr>
            <w:tcW w:type="dxa" w:w="1814"/>
          </w:tcPr>
          <w:p>
            <w:r>
              <w:t>0,475 ± 0,131</w:t>
            </w:r>
          </w:p>
        </w:tc>
      </w:tr>
    </w:tbl>
    <w:p>
      <w:pPr>
        <w:ind w:firstLine="709"/>
        <w:jc w:val="both"/>
      </w:pPr>
      <w:r>
        <w:t>Două observații pot explica rezultatul (ipoteze încă netestate). Mai întâi, modelul cu fuziune aproape că nu folosește chestionarul: macro-F1 rămâne între 0,506 și 0,518 indiferent dacă sunt ascunse 0%, 25%, 50%, 75% sau 100% din răspunsuri, deși chestionarul singur conține semnal (0,390). Ramura de imagine (1.280 de trăsături) domină ramura chestionarului (64 de trăsături) în stratul de concatenare, iar ascunderea chestionarului în 30% din exemple în timpul antrenării îi reduce și mai mult contribuția. În al doilea rând, la trei din cinci seed-uri punctul de control ales pentru fuziune provine din etapa 1, din primele trei epoci, deci rețeaua nu a beneficiat de reantrenarea straturilor superioare; macro-F1 pe validare, calculat pe circa 270 de cazuri, variază mult de la o epocă la alta, iar selecția pe validare este zgomotoasă. Pe tonuri de piele, ambele modele sunt cele mai slabe pe grupul eFST V–VI (imagine 0,490 ± 0,175, fuziune 0,445 ± 0,085, circa 23 de cazuri), cu cel mai slab grup V–VI la trei seed-uri pentru modelul cu imagine. Pașii următori sunt variantele de fuziune cu poartă și FiLM, care pot da chestionarului o influență mai mare, și antrenarea fără modality dropout (E2), pentru a separa efectul arhitecturii de cel al ascunderii răspunsurilor.</w:t>
      </w:r>
    </w:p>
    <w:p>
      <w:pPr>
        <w:pStyle w:val="Heading1"/>
      </w:pPr>
      <w:r>
        <w:t>Capitolul 9. Concluzii și direcții viitoare</w:t>
      </w:r>
    </w:p>
    <w:p>
      <w:pPr>
        <w:jc w:val="both"/>
      </w:pPr>
      <w:r>
        <w:rPr>
          <w:highlight w:val="yellow"/>
        </w:rPr>
        <w:t>[De redactat: concluzii și direcții viitoare, inclusiv traseul pentru tendințe și monetizare.]</w:t>
      </w:r>
    </w:p>
    <w:p>
      <w:pPr>
        <w:pStyle w:val="Heading1"/>
      </w:pPr>
      <w:r>
        <w:t>Anexe</w:t>
      </w:r>
    </w:p>
    <w:p>
      <w:pPr>
        <w:jc w:val="both"/>
      </w:pPr>
      <w:r>
        <w:rPr>
          <w:highlight w:val="yellow"/>
        </w:rPr>
        <w:t>[De redactat: modelul de date și indecșii, documentația API, fișa modelului (*model card*), texte de consimțământ și confidențialitate.]</w:t>
      </w:r>
    </w:p>
    <w:p>
      <w:pPr>
        <w:pStyle w:val="Heading1"/>
      </w:pPr>
      <w:r>
        <w:t>Bibliografie</w:t>
      </w:r>
    </w:p>
    <w:p>
      <w:pPr>
        <w:spacing w:after="120" w:line="276" w:lineRule="auto"/>
        <w:ind w:left="567" w:hanging="567"/>
        <w:jc w:val="left"/>
      </w:pPr>
      <w:r>
        <w:t>[1] Google Research, SCIN: Skin Condition Image Network, depozit GitHub. https://github.com/google-research-datasets/scin</w:t>
      </w:r>
    </w:p>
    <w:p>
      <w:pPr>
        <w:spacing w:after="120" w:line="276" w:lineRule="auto"/>
        <w:ind w:left="567" w:hanging="567"/>
        <w:jc w:val="left"/>
      </w:pPr>
      <w:r>
        <w:t>[2] Google Research Blog, SCIN: A new resource for representative dermatology images. https://research.google/blog/scin-a-new-resource-for-representative-dermatology-images/</w:t>
      </w:r>
    </w:p>
    <w:p>
      <w:pPr>
        <w:spacing w:after="120" w:line="276" w:lineRule="auto"/>
        <w:ind w:left="567" w:hanging="567"/>
        <w:jc w:val="left"/>
      </w:pPr>
      <w:r>
        <w:t>[3] Google Research, documentația schemei setului de date SCIN. https://github.com/google-research-datasets/scin/blob/main/dataset_schema.md</w:t>
      </w:r>
    </w:p>
    <w:p>
      <w:pPr>
        <w:spacing w:after="120" w:line="276" w:lineRule="auto"/>
        <w:ind w:left="567" w:hanging="567"/>
        <w:jc w:val="left"/>
      </w:pPr>
      <w:r>
        <w:t>[4] Google Research, SCIN Data Use License. https://github.com/google-research-datasets/scin/blob/main/LICENSE</w:t>
      </w:r>
    </w:p>
    <w:p>
      <w:pPr>
        <w:spacing w:after="120" w:line="276" w:lineRule="auto"/>
        <w:ind w:left="567" w:hanging="567"/>
        <w:jc w:val="left"/>
      </w:pPr>
      <w:r>
        <w:t>[5] Fitzpatrick, T. B., The validity and practicality of sun-reactive skin types I through VI, Archives of Dermatology 124(6), 1988, 869–871. https://doi.org/10.1001/archderm.1988.01670060015008</w:t>
      </w:r>
    </w:p>
    <w:p>
      <w:pPr>
        <w:spacing w:after="120" w:line="276" w:lineRule="auto"/>
        <w:ind w:left="567" w:hanging="567"/>
        <w:jc w:val="left"/>
      </w:pPr>
      <w:r>
        <w:t>[6] Google Research, Monk Skin Tone Scale. https://skintone.google/</w:t>
      </w:r>
    </w:p>
    <w:p>
      <w:pPr>
        <w:spacing w:after="120" w:line="276" w:lineRule="auto"/>
        <w:ind w:left="567" w:hanging="567"/>
        <w:jc w:val="left"/>
      </w:pPr>
      <w:r>
        <w:t>[7] M. Tan, Q. V. Le, EfficientNet: Rethinking Model Scaling for Convolutional Neural Networks, ICML 2019. https://arxiv.org/abs/1905.11946</w:t>
      </w:r>
    </w:p>
    <w:p>
      <w:pPr>
        <w:spacing w:after="120" w:line="276" w:lineRule="auto"/>
        <w:ind w:left="567" w:hanging="567"/>
        <w:jc w:val="left"/>
      </w:pPr>
      <w:r>
        <w:t>[8] R. Wightman, PyTorch Image Models (timm), GitHub repository. https://github.com/huggingface/pytorch-image-models</w:t>
      </w:r>
    </w:p>
    <w:p>
      <w:pPr>
        <w:spacing w:after="120" w:line="276" w:lineRule="auto"/>
        <w:ind w:left="567" w:hanging="567"/>
        <w:jc w:val="left"/>
      </w:pPr>
      <w:r>
        <w:t>[9] I. Loshchilov, F. Hutter, Decoupled Weight Decay Regularization, ICLR 2019. https://arxiv.org/abs/1711.05101</w:t>
      </w:r>
    </w:p>
    <w:p>
      <w:pPr>
        <w:spacing w:after="120" w:line="276" w:lineRule="auto"/>
        <w:ind w:left="567" w:hanging="567"/>
        <w:jc w:val="left"/>
      </w:pPr>
      <w:r>
        <w:t>[10] I. Loshchilov, F. Hutter, SGDR: Stochastic Gradient Descent with Warm Restarts, ICLR 2017. https://arxiv.org/abs/1608.03983</w:t>
      </w:r>
    </w:p>
    <w:p>
      <w:pPr>
        <w:spacing w:after="120" w:line="276" w:lineRule="auto"/>
        <w:ind w:left="567" w:hanging="567"/>
        <w:jc w:val="left"/>
      </w:pPr>
      <w:r>
        <w:t>[11] T.-Y. Lin, P. Goyal, R. Girshick, K. He, P. Dollár, Focal Loss for Dense Object Detection, ICCV 2017. https://arxiv.org/abs/1708.02002</w:t>
      </w:r>
    </w:p>
    <w:p>
      <w:pPr>
        <w:spacing w:after="120" w:line="276" w:lineRule="auto"/>
        <w:ind w:left="567" w:hanging="567"/>
        <w:jc w:val="left"/>
      </w:pPr>
      <w:r>
        <w:t>[12] B. Efron, R. J. Tibshirani, An Introduction to the Bootstrap, Chapman &amp; Hall/CRC, 1993. https://doi.org/10.1201/9780429246593</w:t>
      </w:r>
    </w:p>
    <w:p>
      <w:pPr>
        <w:spacing w:after="120" w:line="276" w:lineRule="auto"/>
        <w:ind w:left="567" w:hanging="567"/>
        <w:jc w:val="left"/>
      </w:pPr>
      <w:r>
        <w:t>[13] A. Howard, M. Sandler, G. Chu, L.-C. Chen, B. Chen, M. Tan, W. Wang, Y. Zhu, R. Pang, V. Vasudevan, Q. V. Le, H. Adam, Searching for MobileNetV3, ICCV 2019. https://arxiv.org/abs/1905.02244</w:t>
      </w:r>
    </w:p>
    <w:p>
      <w:pPr>
        <w:spacing w:after="120" w:line="276" w:lineRule="auto"/>
        <w:ind w:left="567" w:hanging="567"/>
        <w:jc w:val="left"/>
      </w:pPr>
      <w:r>
        <w:t>[14] C. Guo, G. Pleiss, Y. Sun, K. Q. Weinberger, On Calibration of Modern Neural Networks, ICML 2017. https://arxiv.org/abs/1706.04599</w:t>
      </w:r>
    </w:p>
    <w:p>
      <w:pPr>
        <w:spacing w:after="120" w:line="276" w:lineRule="auto"/>
        <w:ind w:left="567" w:hanging="567"/>
        <w:jc w:val="left"/>
      </w:pPr>
      <w:r>
        <w:t>[15] Y. Geifman, R. El-Yaniv, Selective Classification for Deep Neural Networks, NeurIPS 2017. https://arxiv.org/abs/1705.08500</w:t>
      </w:r>
    </w:p>
    <w:p>
      <w:pPr>
        <w:spacing w:after="120" w:line="276" w:lineRule="auto"/>
        <w:ind w:left="567" w:hanging="567"/>
        <w:jc w:val="left"/>
      </w:pPr>
      <w:r>
        <w:t>[16] S. Sagawa, P. W. Koh, T. B. Hashimoto, P. Liang, Distributionally Robust Neural Networks for Group Shifts, ICLR 2020. https://arxiv.org/abs/1911.08731</w:t>
      </w:r>
    </w:p>
    <w:p>
      <w:pPr>
        <w:spacing w:after="120" w:line="276" w:lineRule="auto"/>
        <w:ind w:left="567" w:hanging="567"/>
        <w:jc w:val="left"/>
      </w:pPr>
      <w:r>
        <w:t>[17] M. Buda, A. Maki, M. A. Mazurowski, A systematic study of the class imbalance problem in convolutional neural networks, Neural Networks 106, 2018. https://arxiv.org/abs/1710.05381</w:t>
      </w:r>
    </w:p>
    <w:p>
      <w:pPr>
        <w:spacing w:after="120" w:line="276" w:lineRule="auto"/>
        <w:ind w:left="567" w:hanging="567"/>
        <w:jc w:val="left"/>
      </w:pPr>
      <w:r>
        <w:t>[18] PyTorch documentation, torch.utils.data.WeightedRandomSampler. https://docs.pytorch.org/docs/stable/data.html#torch.utils.data.WeightedRandomSampler</w:t>
      </w:r>
    </w:p>
    <w:p>
      <w:pPr>
        <w:spacing w:after="120" w:line="276" w:lineRule="auto"/>
        <w:ind w:left="567" w:hanging="567"/>
        <w:jc w:val="left"/>
      </w:pPr>
      <w:r>
        <w:t>[19] R. Daneshjou et al., Disparities in dermatology AI performance on a diverse, curated clinical image set, Science Advances 8(32), 2022. https://doi.org/10.1126/sciadv.abq6147</w:t>
      </w:r>
    </w:p>
    <w:p>
      <w:pPr>
        <w:spacing w:after="120" w:line="276" w:lineRule="auto"/>
        <w:ind w:left="567" w:hanging="567"/>
        <w:jc w:val="left"/>
      </w:pPr>
      <w:r>
        <w:t>[20] M. Groh et al., Evaluating Deep Neural Networks Trained on Clinical Images in Dermatology with the Fitzpatrick 17k Dataset, CVPR Workshops 2021. https://arxiv.org/abs/2104.09957</w:t>
      </w:r>
    </w:p>
    <w:p>
      <w:pPr>
        <w:spacing w:after="120" w:line="276" w:lineRule="auto"/>
        <w:ind w:left="567" w:hanging="567"/>
        <w:jc w:val="left"/>
      </w:pPr>
      <w:r>
        <w:t>[21] G. Alain, Y. Bengio, Understanding intermediate layers using linear classifier probes, arXiv 2016. https://arxiv.org/abs/1610.01644</w:t>
      </w:r>
    </w:p>
    <w:p>
      <w:pPr>
        <w:spacing w:after="120" w:line="276" w:lineRule="auto"/>
        <w:ind w:left="567" w:hanging="567"/>
        <w:jc w:val="left"/>
      </w:pPr>
      <w:r>
        <w:t>[22] A. Radford et al., Learning Transferable Visual Models From Natural Language Supervision, ICML 2021. https://arxiv.org/abs/2103.00020</w:t>
      </w:r>
    </w:p>
    <w:p>
      <w:pPr>
        <w:spacing w:after="120" w:line="276" w:lineRule="auto"/>
        <w:ind w:left="567" w:hanging="567"/>
        <w:jc w:val="left"/>
      </w:pPr>
      <w:r>
        <w:t>[23] S. Yan et al., A multimodal vision foundation model for clinical dermatology (PanDerm), Nature Medicine 2025. https://www.nature.com/articles/s41591-025-03747-y</w:t>
      </w:r>
    </w:p>
    <w:p>
      <w:pPr>
        <w:spacing w:after="120" w:line="276" w:lineRule="auto"/>
        <w:ind w:left="567" w:hanging="567"/>
        <w:jc w:val="left"/>
      </w:pPr>
      <w:r>
        <w:t>[24] S. Yan et al., Derm1M: A Million-scale Vision-Language Dataset Aligned with Clinical Ontology Knowledge for Dermatology (DermLIP), ICCV 2025. https://arxiv.org/abs/2503.14911</w:t>
      </w:r>
    </w:p>
    <w:p>
      <w:pPr>
        <w:spacing w:after="120" w:line="276" w:lineRule="auto"/>
        <w:ind w:left="567" w:hanging="567"/>
        <w:jc w:val="left"/>
      </w:pPr>
      <w:r>
        <w:t>[25] I. Goodfellow, Y. Bengio, A. Courville, Deep Learning, MIT Press 2016, chapter 6 (deep feedforward networks). https://www.deeplearningbook.org/</w:t>
      </w:r>
    </w:p>
    <w:p>
      <w:pPr>
        <w:spacing w:after="120" w:line="276" w:lineRule="auto"/>
        <w:ind w:left="567" w:hanging="567"/>
        <w:jc w:val="left"/>
      </w:pPr>
      <w:r>
        <w:t>[26] J. Arevalo, T. Solorio, M. Montes-y-Gómez, F. A. González, Gated Multimodal Units for Information Fusion, ICLR Workshop 2017. https://arxiv.org/abs/1702.01992</w:t>
      </w:r>
    </w:p>
    <w:p>
      <w:pPr>
        <w:spacing w:after="120" w:line="276" w:lineRule="auto"/>
        <w:ind w:left="567" w:hanging="567"/>
        <w:jc w:val="left"/>
      </w:pPr>
      <w:r>
        <w:t>[27] E. Perez, F. Strub, H. de Vries, V. Dumoulin, A. Courville, FiLM: Visual Reasoning with a General Conditioning Layer, AAAI 2018. https://arxiv.org/abs/1709.07871</w:t>
      </w:r>
    </w:p>
    <w:p>
      <w:pPr>
        <w:spacing w:after="120" w:line="276" w:lineRule="auto"/>
        <w:ind w:left="567" w:hanging="567"/>
        <w:jc w:val="left"/>
      </w:pPr>
      <w:r>
        <w:t>[28] Student (W. S. Gosset), The Probable Error of a Mean, Biometrika 6(1), 1908. https://doi.org/10.1093/biomet/6.1.1</w:t>
      </w:r>
    </w:p>
    <w:sectPr w:rsidR="00FC693F" w:rsidRPr="0006063C" w:rsidSect="00034616">
      <w:footerReference w:type="default" r:id="rId13"/>
      <w:headerReference w:type="default" r:id="rId14"/>
      <w:pgSz w:w="11906" w:h="16838"/>
      <w:pgMar w:top="1417" w:right="1134" w:bottom="1417" w:left="1701" w:header="709" w:footer="709"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60" w:lineRule="auto"/>
      <w:jc w:val="both"/>
    </w:pPr>
    <w:rPr>
      <w:rFonts w:ascii="Times New Roman" w:hAnsi="Times New Roman" w:eastAsia="Times New Roman" w:cs="Times New Roman"/>
      <w:b w:val="0"/>
      <w:i w:val="0"/>
      <w:color w:val="000000"/>
      <w:sz w:val="24"/>
      <w:lang w:val="ro-RO" w:eastAsia="ro-R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276"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21"/>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9"/>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2"/>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4"/>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4"/>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4"/>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dc:language>ro-RO</dc:language>
</cp:coreProperties>
</file>