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Capitolul 1. Introducere</w:t>
      </w:r>
    </w:p>
    <w:p>
      <w:pPr>
        <w:jc w:val="center"/>
      </w:pPr>
      <w:r>
        <w:rPr>
          <w:i/>
        </w:rPr>
        <w:t>Lucrare de licență: Companion pentru îngrijirea pielii asistat de inteligență artificială. Autor: Daria Giotina. (Ciornă)</w:t>
      </w:r>
    </w:p>
    <w:p>
      <w:pPr>
        <w:pStyle w:val="Heading2"/>
      </w:pPr>
      <w:r>
        <w:t>1.1 Motivație și formularea problemei</w:t>
      </w:r>
    </w:p>
    <w:p>
      <w:pPr>
        <w:ind w:firstLine="709"/>
        <w:jc w:val="both"/>
      </w:pPr>
      <w:r>
        <w:t>Îngrijirea pielii a devenit în ultimii ani un domeniu în care utilizatorii caută tot mai frecvent informații personalizate prin intermediul aplicațiilor mobile. Preocupări cotidiene precum acneea, uscăciunea, roșeața sau hiperpigmentarea afectează o parte semnificativă a populației [CITE], iar accesul la consultații de specialitate este adesea limitat de costuri, de distanța geografică sau de timpul de așteptare [CITE]. În acest context, un instrument informativ, accesibil de pe telefon, care ajută utilizatorul să își înțeleagă mai bine starea pielii și să identifice rutine de îngrijire potrivite, răspunde unei nevoi reale. Este important de precizat că lucrarea de față nu propune un dispozitiv medical: aplicația dezvoltată are exclusiv scop informativ și nu înlocuiește sfatul unui specialist.</w:t>
      </w:r>
    </w:p>
    <w:p>
      <w:pPr>
        <w:ind w:firstLine="709"/>
        <w:jc w:val="both"/>
      </w:pPr>
      <w:r>
        <w:t>Progresele recente din domeniul învățării automate, în special al rețelelor neuronale convoluționale și al transferului de cunoștințe de la modele preantrenate, au făcut posibilă clasificarea automată a imaginilor dermatologice cu rezultate promițătoare [CITE]. Cu toate acestea, majoritatea abordărilor existente se bazează exclusiv pe fotografie, deși informațiile declarate de utilizator, precum durata apariției, senzația de mâncărime sau rutina folosită, conțin indicii complementare pe care o imagine singură nu le poate oferi [CITE]. Integrarea acestor răspunsuri cu informația vizuală ridică însă o problemă practică: în utilizarea reală, utilizatorii completează adesea doar parțial chestionarul sau îl omit complet, iar un sistem robust trebuie să funcționeze coerent în toate aceste situații.</w:t>
      </w:r>
    </w:p>
    <w:p>
      <w:pPr>
        <w:ind w:firstLine="709"/>
        <w:jc w:val="both"/>
      </w:pPr>
      <w:r>
        <w:t>O a doua problemă, de natură etică și tehnică, este reprezentarea inegală a tonurilor de piele în seturile de date folosite pentru antrenare. Mai multe studii arată că tonurile închise sunt subreprezentate, ceea ce poate duce la performanțe diferite între grupuri [CITE]. Un sistem care îmbunătățește rezultatele în medie, dar le înrăutățește pentru anumite tonuri de piele, nu poate fi considerat echitabil, iar evaluarea performanței trebuie, prin urmare, stratificată în funcție de scalele Fitzpatrick și Monk [CITE].</w:t>
      </w:r>
    </w:p>
    <w:p>
      <w:pPr>
        <w:ind w:firstLine="709"/>
        <w:jc w:val="both"/>
      </w:pPr>
      <w:r>
        <w:t>Pornind de la aceste observații, problema abordată în lucrare poate fi formulată astfel: în ce măsură combinarea fotografiei cu datele auto-declarate îmbunătățește clasificarea preocupărilor comune ale pielii, cât de stabil rămâne sistemul atunci când răspunsurile lipsesc parțial sau total și dacă efectul este consistent pentru toate tonurile de piele. Răspunsul la aceste întrebări stă la baza obiectivelor și a contribuțiilor prezentate în secțiunile următoare.</w:t>
      </w:r>
    </w:p>
    <w:p>
      <w:pPr>
        <w:pStyle w:val="Heading2"/>
      </w:pPr>
      <w:r>
        <w:t>1.2 Obiective</w:t>
      </w:r>
    </w:p>
    <w:p>
      <w:pPr>
        <w:ind w:firstLine="709"/>
        <w:jc w:val="both"/>
      </w:pPr>
      <w:r>
        <w:t>[De redactat.]</w:t>
      </w:r>
    </w:p>
    <w:p>
      <w:pPr>
        <w:pStyle w:val="Heading2"/>
      </w:pPr>
      <w:r>
        <w:t>1.3 Contribuții</w:t>
      </w:r>
    </w:p>
    <w:p>
      <w:pPr>
        <w:ind w:firstLine="709"/>
        <w:jc w:val="both"/>
      </w:pPr>
      <w:r>
        <w:t>[De redactat după obținerea rezultatelor.]</w:t>
      </w:r>
    </w:p>
    <w:p>
      <w:pPr>
        <w:pStyle w:val="Heading1"/>
      </w:pPr>
      <w:r>
        <w:t>Capitolul 5. Metodologia AI/ML (ciornă)</w:t>
      </w:r>
    </w:p>
    <w:p>
      <w:pPr>
        <w:pStyle w:val="Heading2"/>
      </w:pPr>
      <w:r>
        <w:t>5.1 Setul de date SCIN: obținere, licență și audit</w:t>
      </w:r>
    </w:p>
    <w:p>
      <w:pPr>
        <w:ind w:firstLine="709"/>
        <w:jc w:val="both"/>
      </w:pPr>
      <w:r>
        <w:t>Setul de date principal al lucrării este SCIN (Skin Condition Image Network), publicat de Google Research (https://github.com/google-research-datasets/scin) [1]. Setul a fost colectat prin contribuții voluntare ale unor utilizatori din Statele Unite, care au trimis fotografii realizate cu telefonul, împreună cu răspunsuri auto-declarate despre simptome, textură, durată și date demografice (https://research.google/blog/scin-a-new-resource-for-representative-dermatology-images/) [4]. Metadatele sunt distribuite sub forma a două fișiere CSV principale, scin_cases.csv și scin_labels.csv, legate prin identificatorul case_id, alături de două fișiere care descriu întrebările din aplicație și din procesul de etichetare (https://github.com/google-research-datasets/scin/blob/main/dataset_schema.md) [3]. Fișierele au fost descărcate din depozitul public Google Cloud Storage dx-scin-public-data, versiunea 1.0.0.</w:t>
      </w:r>
    </w:p>
    <w:p>
      <w:pPr>
        <w:ind w:firstLine="709"/>
        <w:jc w:val="both"/>
      </w:pPr>
      <w:r>
        <w:t>Utilizarea datelor este reglementată de SCIN Data Use License (https://github.com/google-research-datasets/scin/blob/main/LICENSE) [2]. Licența permite reproducerea, partajarea și adaptarea materialului, cu condiția atribuirii sursei, și interzice explicit orice încercare de re-identificare a persoanelor ale căror date au fost de-identificate; nerespectarea acestei restricții duce la încetarea imediată a drepturilor acordate. În consecință, lucrarea folosește datele exclusiv în scop de cercetare, nu redistribuie imaginile și nu efectuează nicio prelucrare care ar putea conduce la re-identificare.</w:t>
      </w:r>
    </w:p>
    <w:p>
      <w:pPr>
        <w:ind w:firstLine="709"/>
        <w:jc w:val="both"/>
      </w:pPr>
      <w:r>
        <w:t>Pentru a cunoaște structura și limitările datelor înainte de proiectarea modelului, a fost implementat scriptul ml/scripts/audit_scin.py. Acesta încarcă cele două fișiere, verifică unicitatea și corespondența identificatorului case_id, unește tabelele la nivel de caz și generează o schemă a coloanelor (scin_schema.json), un raport de audit (scin_audit_report.md) și o intrare în registrul surselor de date (data_sources.csv). Un aspect metodologic important este faptul că întrebările cu răspunsuri multiple (textură, zonă a corpului, simptome) sunt stocate câte o coloană pentru fiecare opțiune, cu valoarea „YES” sau necompletată; o celulă goală înseamnă „opțiune nebifată”, nu „valoare lipsă”. De aceea, lipsa răspunsurilor a fost evaluată la nivelul întregii întrebări, iar răspunsurile neinformative, precum AGE_UNKNOWN sau OTHER_OR_UNSPECIFIED, au fost raportate separat de valorile absente.</w:t>
      </w:r>
    </w:p>
    <w:p>
      <w:pPr>
        <w:ind w:firstLine="709"/>
        <w:jc w:val="both"/>
      </w:pPr>
      <w:r>
        <w:t>Auditul a identificat 5.033 de cazuri unice și 10.407 imagini, în medie 2,07 imagini per caz; 38,7% dintre cazuri au o singură imagine, 15,8% au două, iar 45,5% au trei. Toate cele 5.033 de identificatoare apar în ambele fișiere, fără duplicate. Lipsa răspunsurilor este substanțială și neuniformă: grupa de vârstă este necunoscută în 56,9% dintre cazuri, tipul de piele Fitzpatrick auto-declarat lipsește sau este neidentificat în 56,8%, întrebarea despre etnie nu are niciun răspuns în 47,3%, simptomele legate de afecțiune lipsesc în 25,1%, durata în 20,6%, iar textura și zona corpului în aproximativ 19% dintre cazuri. Această lipsă naturală a răspunsurilor confirmă relevanța practică a întrebării de cercetare privind funcționarea modelului atunci când chestionarul este incomplet.</w:t>
      </w:r>
    </w:p>
    <w:p>
      <w:r>
        <w:rPr>
          <w:i/>
        </w:rPr>
        <w:t>Tabelul 5.1. Distribuția tonurilor de piele estimate în SCIN (N = 5.033 cazuri).</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Grupă</w:t>
            </w:r>
          </w:p>
        </w:tc>
        <w:tc>
          <w:tcPr>
            <w:tcW w:type="dxa" w:w="3135"/>
          </w:tcPr>
          <w:p>
            <w:r>
              <w:rPr>
                <w:b/>
              </w:rPr>
              <w:t>Cazuri</w:t>
            </w:r>
          </w:p>
        </w:tc>
        <w:tc>
          <w:tcPr>
            <w:tcW w:type="dxa" w:w="3135"/>
          </w:tcPr>
          <w:p>
            <w:r>
              <w:rPr>
                <w:b/>
              </w:rPr>
              <w:t>Procent</w:t>
            </w:r>
          </w:p>
        </w:tc>
      </w:tr>
      <w:tr>
        <w:tc>
          <w:tcPr>
            <w:tcW w:type="dxa" w:w="3135"/>
          </w:tcPr>
          <w:p>
            <w:r>
              <w:t>eFST I–II</w:t>
            </w:r>
          </w:p>
        </w:tc>
        <w:tc>
          <w:tcPr>
            <w:tcW w:type="dxa" w:w="3135"/>
          </w:tcPr>
          <w:p>
            <w:r>
              <w:t>1.773</w:t>
            </w:r>
          </w:p>
        </w:tc>
        <w:tc>
          <w:tcPr>
            <w:tcW w:type="dxa" w:w="3135"/>
          </w:tcPr>
          <w:p>
            <w:r>
              <w:t>35,2%</w:t>
            </w:r>
          </w:p>
        </w:tc>
      </w:tr>
      <w:tr>
        <w:tc>
          <w:tcPr>
            <w:tcW w:type="dxa" w:w="3135"/>
          </w:tcPr>
          <w:p>
            <w:r>
              <w:t>eFST III–IV</w:t>
            </w:r>
          </w:p>
        </w:tc>
        <w:tc>
          <w:tcPr>
            <w:tcW w:type="dxa" w:w="3135"/>
          </w:tcPr>
          <w:p>
            <w:r>
              <w:t>2.161</w:t>
            </w:r>
          </w:p>
        </w:tc>
        <w:tc>
          <w:tcPr>
            <w:tcW w:type="dxa" w:w="3135"/>
          </w:tcPr>
          <w:p>
            <w:r>
              <w:t>42,9%</w:t>
            </w:r>
          </w:p>
        </w:tc>
      </w:tr>
      <w:tr>
        <w:tc>
          <w:tcPr>
            <w:tcW w:type="dxa" w:w="3135"/>
          </w:tcPr>
          <w:p>
            <w:r>
              <w:t>eFST V–VI</w:t>
            </w:r>
          </w:p>
        </w:tc>
        <w:tc>
          <w:tcPr>
            <w:tcW w:type="dxa" w:w="3135"/>
          </w:tcPr>
          <w:p>
            <w:r>
              <w:t>436</w:t>
            </w:r>
          </w:p>
        </w:tc>
        <w:tc>
          <w:tcPr>
            <w:tcW w:type="dxa" w:w="3135"/>
          </w:tcPr>
          <w:p>
            <w:r>
              <w:t>8,7%</w:t>
            </w:r>
          </w:p>
        </w:tc>
      </w:tr>
      <w:tr>
        <w:tc>
          <w:tcPr>
            <w:tcW w:type="dxa" w:w="3135"/>
          </w:tcPr>
          <w:p>
            <w:r>
              <w:t>eFST lipsă</w:t>
            </w:r>
          </w:p>
        </w:tc>
        <w:tc>
          <w:tcPr>
            <w:tcW w:type="dxa" w:w="3135"/>
          </w:tcPr>
          <w:p>
            <w:r>
              <w:t>663</w:t>
            </w:r>
          </w:p>
        </w:tc>
        <w:tc>
          <w:tcPr>
            <w:tcW w:type="dxa" w:w="3135"/>
          </w:tcPr>
          <w:p>
            <w:r>
              <w:t>13,2%</w:t>
            </w:r>
          </w:p>
        </w:tc>
      </w:tr>
      <w:tr>
        <w:tc>
          <w:tcPr>
            <w:tcW w:type="dxa" w:w="3135"/>
          </w:tcPr>
          <w:p>
            <w:r>
              <w:t>eMST 1–3 (adnotatori SUA)</w:t>
            </w:r>
          </w:p>
        </w:tc>
        <w:tc>
          <w:tcPr>
            <w:tcW w:type="dxa" w:w="3135"/>
          </w:tcPr>
          <w:p>
            <w:r>
              <w:t>3.502</w:t>
            </w:r>
          </w:p>
        </w:tc>
        <w:tc>
          <w:tcPr>
            <w:tcW w:type="dxa" w:w="3135"/>
          </w:tcPr>
          <w:p>
            <w:r>
              <w:t>69,6%</w:t>
            </w:r>
          </w:p>
        </w:tc>
      </w:tr>
      <w:tr>
        <w:tc>
          <w:tcPr>
            <w:tcW w:type="dxa" w:w="3135"/>
          </w:tcPr>
          <w:p>
            <w:r>
              <w:t>eMST 4–6 (adnotatori SUA)</w:t>
            </w:r>
          </w:p>
        </w:tc>
        <w:tc>
          <w:tcPr>
            <w:tcW w:type="dxa" w:w="3135"/>
          </w:tcPr>
          <w:p>
            <w:r>
              <w:t>1.296</w:t>
            </w:r>
          </w:p>
        </w:tc>
        <w:tc>
          <w:tcPr>
            <w:tcW w:type="dxa" w:w="3135"/>
          </w:tcPr>
          <w:p>
            <w:r>
              <w:t>25,8%</w:t>
            </w:r>
          </w:p>
        </w:tc>
      </w:tr>
      <w:tr>
        <w:tc>
          <w:tcPr>
            <w:tcW w:type="dxa" w:w="3135"/>
          </w:tcPr>
          <w:p>
            <w:r>
              <w:t>eMST 7–10 (adnotatori SUA)</w:t>
            </w:r>
          </w:p>
        </w:tc>
        <w:tc>
          <w:tcPr>
            <w:tcW w:type="dxa" w:w="3135"/>
          </w:tcPr>
          <w:p>
            <w:r>
              <w:t>207</w:t>
            </w:r>
          </w:p>
        </w:tc>
        <w:tc>
          <w:tcPr>
            <w:tcW w:type="dxa" w:w="3135"/>
          </w:tcPr>
          <w:p>
            <w:r>
              <w:t>4,1%</w:t>
            </w:r>
          </w:p>
        </w:tc>
      </w:tr>
    </w:tbl>
    <w:p>
      <w:pPr>
        <w:ind w:firstLine="709"/>
        <w:jc w:val="both"/>
      </w:pPr>
      <w:r>
        <w:t>Distribuția tonurilor de piele este dezechilibrată (Tabelul 5.1). Tonul Fitzpatrick estimat de dermatologi (eFST) a fost calculat ca mediana celor până la trei etichete disponibile pentru fiecare caz; în 73,7% dintre cazuri există o singură etichetă, iar 13,2% dintre cazuri nu au niciuna. Grupul V–VI reprezintă doar 8,7% din cazuri, iar tipul VI numai 68 de cazuri (1,35%). Pe scala Monk (eMST), grupul 7–10 cuprinde 4,1% din cazuri conform adnotatorilor din SUA și doar 1,0% conform celor din India, ceea ce arată că cele două grupuri de adnotatori nu sunt interschimbabile și că alegerea uneia dintre ele trebuie raportată explicit. Rezultatele pentru tonurile închise vor avea, prin urmare, intervale de încredere largi.</w:t>
      </w:r>
    </w:p>
    <w:p>
      <w:pPr>
        <w:ind w:firstLine="709"/>
        <w:jc w:val="both"/>
      </w:pPr>
      <w:r>
        <w:t>În privința etichetelor, 3.061 de cazuri (60,8%) au cel puțin o etichetă ponderată atribuită de dermatologi, iar primul dermatolog a considerat calitatea imaginilor insuficientă pentru o evaluare în 38,3% dintre cazuri. Etichetele reprezintă evaluări diferențiale retrospective, realizate pe baza imaginilor și a datelor auto-declarate, nu rezultate confirmate clinic. Cele mai frecvente etichete principale sunt eczema (488 de cazuri), dermatita alergică de contact (270), urticaria (214), înțepătura de insectă (185) și foliculita (142), în timp ce acneea apare ca etichetă principală în doar 61 de cazuri, iar rozaceea în 29. Aceste valori vor fundamenta alegerea setului final de clase. Împărțirea în seturi de antrenare, validare și testare se va face la nivel de caz (case_id), astfel încât imaginile aceluiași caz să nu apară în seturi diferite.</w:t>
      </w:r>
    </w:p>
    <w:p>
      <w:pPr>
        <w:pStyle w:val="Heading2"/>
      </w:pPr>
      <w:r>
        <w:t>5.2 Definirea categoriilor țintă de probleme ale pielii</w:t>
      </w:r>
    </w:p>
    <w:p>
      <w:pPr>
        <w:ind w:firstLine="709"/>
        <w:jc w:val="both"/>
      </w:pPr>
      <w:r>
        <w:t>Etichetele SCIN sunt peste 370 de denumiri diferențiale distincte, multe cu mai puțin de zece apariții, deci nepotrivite ca set de clase pentru un asistent informativ. Scriptul ml/labels/build_labels.py le grupează în cinci categorii țintă (acne, eczema_dermatitis, redness_rosacea, normal_other, excluded), pe baza unui dicționar explicit din ml/labels/label_map.yaml. Pentru fiecare case_id, ponderile denumirilor atribuite aceleiași categorii se însumează, iar categoria cu suma maximă devine eticheta principală dacă suma atinge un prag configurabil (0,40). Egalitățile și cazurile sub prag primesc eticheta excluded, la fel ca denumirile nemapate. Categoriile sunt grupări de probleme ale pielii, nu clasificări medicale.</w:t>
      </w:r>
    </w:p>
    <w:p>
      <w:pPr>
        <w:ind w:firstLine="709"/>
        <w:jc w:val="both"/>
      </w:pPr>
      <w:r>
        <w:t>Din 5.033 de cazuri, 144 au ca etichetă principală acne, 1.068 eczema_dermatitis, 44 redness_rosacea și 553 normal_other; 3.224 sunt excluse (dintre acestea, 1.972 nu au nicio etichetă ponderată). Categoria redness_rosacea are doar un caz în grupul eFST V–VI, iar acne 10 (Tabelul 5.2), deci analiza pe tonuri închise va avea intervale de încredere foarte largi pentru aceste categorii. Mapările din label_map.yaml sunt decizii ale autorului (de exemplu foliculita este inclusă în acne) și vor fi raportate ca limitare.</w:t>
      </w:r>
    </w:p>
    <w:p>
      <w:r>
        <w:rPr>
          <w:i/>
        </w:rPr>
        <w:t>Tabelul 5.2. Categorii țintă pe grupe eFST (SCIN, prag 0,40).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Categorie</w:t>
            </w:r>
          </w:p>
        </w:tc>
        <w:tc>
          <w:tcPr>
            <w:tcW w:type="dxa" w:w="1568"/>
          </w:tcPr>
          <w:p>
            <w:r>
              <w:rPr>
                <w:b/>
              </w:rPr>
              <w:t>eFST I–II</w:t>
            </w:r>
          </w:p>
        </w:tc>
        <w:tc>
          <w:tcPr>
            <w:tcW w:type="dxa" w:w="1568"/>
          </w:tcPr>
          <w:p>
            <w:r>
              <w:rPr>
                <w:b/>
              </w:rPr>
              <w:t>eFST III–IV</w:t>
            </w:r>
          </w:p>
        </w:tc>
        <w:tc>
          <w:tcPr>
            <w:tcW w:type="dxa" w:w="1568"/>
          </w:tcPr>
          <w:p>
            <w:r>
              <w:rPr>
                <w:b/>
              </w:rPr>
              <w:t>eFST V–VI</w:t>
            </w:r>
          </w:p>
        </w:tc>
        <w:tc>
          <w:tcPr>
            <w:tcW w:type="dxa" w:w="1568"/>
          </w:tcPr>
          <w:p>
            <w:r>
              <w:rPr>
                <w:b/>
              </w:rPr>
              <w:t>eFST lipsă</w:t>
            </w:r>
          </w:p>
        </w:tc>
        <w:tc>
          <w:tcPr>
            <w:tcW w:type="dxa" w:w="1568"/>
          </w:tcPr>
          <w:p>
            <w:r>
              <w:rPr>
                <w:b/>
              </w:rPr>
              <w:t>Total</w:t>
            </w:r>
          </w:p>
        </w:tc>
      </w:tr>
      <w:tr>
        <w:tc>
          <w:tcPr>
            <w:tcW w:type="dxa" w:w="1568"/>
          </w:tcPr>
          <w:p>
            <w:r>
              <w:t>acne</w:t>
            </w:r>
          </w:p>
        </w:tc>
        <w:tc>
          <w:tcPr>
            <w:tcW w:type="dxa" w:w="1568"/>
          </w:tcPr>
          <w:p>
            <w:r>
              <w:t>55</w:t>
            </w:r>
          </w:p>
        </w:tc>
        <w:tc>
          <w:tcPr>
            <w:tcW w:type="dxa" w:w="1568"/>
          </w:tcPr>
          <w:p>
            <w:r>
              <w:t>77</w:t>
            </w:r>
          </w:p>
        </w:tc>
        <w:tc>
          <w:tcPr>
            <w:tcW w:type="dxa" w:w="1568"/>
          </w:tcPr>
          <w:p>
            <w:r>
              <w:t>10</w:t>
            </w:r>
          </w:p>
        </w:tc>
        <w:tc>
          <w:tcPr>
            <w:tcW w:type="dxa" w:w="1568"/>
          </w:tcPr>
          <w:p>
            <w:r>
              <w:t>2</w:t>
            </w:r>
          </w:p>
        </w:tc>
        <w:tc>
          <w:tcPr>
            <w:tcW w:type="dxa" w:w="1568"/>
          </w:tcPr>
          <w:p>
            <w:r>
              <w:t>144</w:t>
            </w:r>
          </w:p>
        </w:tc>
      </w:tr>
      <w:tr>
        <w:tc>
          <w:tcPr>
            <w:tcW w:type="dxa" w:w="1568"/>
          </w:tcPr>
          <w:p>
            <w:r>
              <w:t>eczema_dermatitis</w:t>
            </w:r>
          </w:p>
        </w:tc>
        <w:tc>
          <w:tcPr>
            <w:tcW w:type="dxa" w:w="1568"/>
          </w:tcPr>
          <w:p>
            <w:r>
              <w:t>478</w:t>
            </w:r>
          </w:p>
        </w:tc>
        <w:tc>
          <w:tcPr>
            <w:tcW w:type="dxa" w:w="1568"/>
          </w:tcPr>
          <w:p>
            <w:r>
              <w:t>460</w:t>
            </w:r>
          </w:p>
        </w:tc>
        <w:tc>
          <w:tcPr>
            <w:tcW w:type="dxa" w:w="1568"/>
          </w:tcPr>
          <w:p>
            <w:r>
              <w:t>89</w:t>
            </w:r>
          </w:p>
        </w:tc>
        <w:tc>
          <w:tcPr>
            <w:tcW w:type="dxa" w:w="1568"/>
          </w:tcPr>
          <w:p>
            <w:r>
              <w:t>41</w:t>
            </w:r>
          </w:p>
        </w:tc>
        <w:tc>
          <w:tcPr>
            <w:tcW w:type="dxa" w:w="1568"/>
          </w:tcPr>
          <w:p>
            <w:r>
              <w:t>1.068</w:t>
            </w:r>
          </w:p>
        </w:tc>
      </w:tr>
      <w:tr>
        <w:tc>
          <w:tcPr>
            <w:tcW w:type="dxa" w:w="1568"/>
          </w:tcPr>
          <w:p>
            <w:r>
              <w:t>redness_rosacea</w:t>
            </w:r>
          </w:p>
        </w:tc>
        <w:tc>
          <w:tcPr>
            <w:tcW w:type="dxa" w:w="1568"/>
          </w:tcPr>
          <w:p>
            <w:r>
              <w:t>30</w:t>
            </w:r>
          </w:p>
        </w:tc>
        <w:tc>
          <w:tcPr>
            <w:tcW w:type="dxa" w:w="1568"/>
          </w:tcPr>
          <w:p>
            <w:r>
              <w:t>11</w:t>
            </w:r>
          </w:p>
        </w:tc>
        <w:tc>
          <w:tcPr>
            <w:tcW w:type="dxa" w:w="1568"/>
          </w:tcPr>
          <w:p>
            <w:r>
              <w:t>1</w:t>
            </w:r>
          </w:p>
        </w:tc>
        <w:tc>
          <w:tcPr>
            <w:tcW w:type="dxa" w:w="1568"/>
          </w:tcPr>
          <w:p>
            <w:r>
              <w:t>2</w:t>
            </w:r>
          </w:p>
        </w:tc>
        <w:tc>
          <w:tcPr>
            <w:tcW w:type="dxa" w:w="1568"/>
          </w:tcPr>
          <w:p>
            <w:r>
              <w:t>44</w:t>
            </w:r>
          </w:p>
        </w:tc>
      </w:tr>
      <w:tr>
        <w:tc>
          <w:tcPr>
            <w:tcW w:type="dxa" w:w="1568"/>
          </w:tcPr>
          <w:p>
            <w:r>
              <w:t>normal_other</w:t>
            </w:r>
          </w:p>
        </w:tc>
        <w:tc>
          <w:tcPr>
            <w:tcW w:type="dxa" w:w="1568"/>
          </w:tcPr>
          <w:p>
            <w:r>
              <w:t>216</w:t>
            </w:r>
          </w:p>
        </w:tc>
        <w:tc>
          <w:tcPr>
            <w:tcW w:type="dxa" w:w="1568"/>
          </w:tcPr>
          <w:p>
            <w:r>
              <w:t>258</w:t>
            </w:r>
          </w:p>
        </w:tc>
        <w:tc>
          <w:tcPr>
            <w:tcW w:type="dxa" w:w="1568"/>
          </w:tcPr>
          <w:p>
            <w:r>
              <w:t>49</w:t>
            </w:r>
          </w:p>
        </w:tc>
        <w:tc>
          <w:tcPr>
            <w:tcW w:type="dxa" w:w="1568"/>
          </w:tcPr>
          <w:p>
            <w:r>
              <w:t>30</w:t>
            </w:r>
          </w:p>
        </w:tc>
        <w:tc>
          <w:tcPr>
            <w:tcW w:type="dxa" w:w="1568"/>
          </w:tcPr>
          <w:p>
            <w:r>
              <w:t>553</w:t>
            </w:r>
          </w:p>
        </w:tc>
      </w:tr>
      <w:tr>
        <w:tc>
          <w:tcPr>
            <w:tcW w:type="dxa" w:w="1568"/>
          </w:tcPr>
          <w:p>
            <w:r>
              <w:t>excluded</w:t>
            </w:r>
          </w:p>
        </w:tc>
        <w:tc>
          <w:tcPr>
            <w:tcW w:type="dxa" w:w="1568"/>
          </w:tcPr>
          <w:p>
            <w:r>
              <w:t>994</w:t>
            </w:r>
          </w:p>
        </w:tc>
        <w:tc>
          <w:tcPr>
            <w:tcW w:type="dxa" w:w="1568"/>
          </w:tcPr>
          <w:p>
            <w:r>
              <w:t>1.355</w:t>
            </w:r>
          </w:p>
        </w:tc>
        <w:tc>
          <w:tcPr>
            <w:tcW w:type="dxa" w:w="1568"/>
          </w:tcPr>
          <w:p>
            <w:r>
              <w:t>287</w:t>
            </w:r>
          </w:p>
        </w:tc>
        <w:tc>
          <w:tcPr>
            <w:tcW w:type="dxa" w:w="1568"/>
          </w:tcPr>
          <w:p>
            <w:r>
              <w:t>588</w:t>
            </w:r>
          </w:p>
        </w:tc>
        <w:tc>
          <w:tcPr>
            <w:tcW w:type="dxa" w:w="1568"/>
          </w:tcPr>
          <w:p>
            <w:r>
              <w:t>3.224</w:t>
            </w:r>
          </w:p>
        </w:tc>
      </w:tr>
    </w:tbl>
    <w:p>
      <w:pPr>
        <w:pStyle w:val="Heading1"/>
      </w:pPr>
      <w:r>
        <w:t>Bibliografie</w:t>
      </w:r>
    </w:p>
    <w:p>
      <w:pPr>
        <w:ind w:firstLine="0"/>
      </w:pPr>
      <w:r>
        <w:t>[1] Google Research, SCIN: Skin Condition Image Network, depozit GitHub. https://github.com/google-research-datasets/scin</w:t>
      </w:r>
    </w:p>
    <w:p>
      <w:pPr>
        <w:ind w:firstLine="0"/>
      </w:pPr>
      <w:r>
        <w:t>[2] Google Research, SCIN Data Use License. https://github.com/google-research-datasets/scin/blob/main/LICENSE</w:t>
      </w:r>
    </w:p>
    <w:p>
      <w:pPr>
        <w:ind w:firstLine="0"/>
      </w:pPr>
      <w:r>
        <w:t>[3] Google Research, documentația schemei setului de date SCIN. https://github.com/google-research-datasets/scin/blob/main/dataset_schema.md</w:t>
      </w:r>
    </w:p>
    <w:p>
      <w:pPr>
        <w:ind w:firstLine="0"/>
      </w:pPr>
      <w:r>
        <w:t>[4] Google Research Blog, SCIN: A new resource for representative dermatology images. https://research.google/blog/scin-a-new-resource-for-representative-dermatology-images/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