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[To be written once results are available: background and objective, data and methods, main results, conclusion.]</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The image branch is EfficientNet-B0 [6] from the timm library [7] with weights pretrained on ImageNet (transfer learning: the network starts from what it already learned on a large image set and is retrained on SCIN). The questionnaire branch is a small network with one layer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The outputs of both branches are concatenated and passed to a final layer that scores each of the four categories. A photo-only model, without the questionnaire branch, is trained as a baseline.</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(e.g. 44 redness_rosacea cases versus 1,068 eczema_dermatitis), the loss (the error measure that training minimises) is cross-entropy weighted inversely to class frequency. The optimiser is AdamW [8] with learning rate 3e-4 and cosine decay [9], for 15 epochs, with mixed precision on GPU.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jc w:val="both"/>
      </w:pPr>
      <w:r>
        <w:t xml:space="preserve">The photo-only baseline is the first arm of experiment E1 and is run by </w:t>
      </w:r>
      <w:r>
        <w:rPr>
          <w:rFonts w:ascii="Courier New" w:hAnsi="Courier New" w:eastAsia="Courier New" w:cs="Courier New"/>
          <w:sz w:val="19"/>
        </w:rPr>
        <w:t>ml/run_image_only.py</w:t>
      </w:r>
      <w:r>
        <w:t xml:space="preserve"> on all five split variants (seeds 0-4). A seed is the number that initialises the random number generator; each seed has its own case-level split, sample order and augmentation, so repeating the run over five seeds shows how much the result varies by chance alone. For every seed the model is trained in the three stages, the checkpoint (the saved network weights) with the best validation macro-F1 is kept, and it is tested once. Test predictions are scored by </w:t>
      </w:r>
      <w:r>
        <w:rPr>
          <w:rFonts w:ascii="Courier New" w:hAnsi="Courier New" w:eastAsia="Courier New" w:cs="Courier New"/>
          <w:sz w:val="19"/>
        </w:rPr>
        <w:t>ml/evaluate.py</w:t>
      </w:r>
      <w:r>
        <w:t xml:space="preserve">, and the five seeds are reported as mean ± standard deviation (the standard deviation measures how far the five values spread around their mean) in </w:t>
      </w:r>
      <w:r>
        <w:rPr>
          <w:rFonts w:ascii="Courier New" w:hAnsi="Courier New" w:eastAsia="Courier New" w:cs="Courier New"/>
          <w:sz w:val="19"/>
        </w:rPr>
        <w:t>e1_image_only_test.csv</w:t>
      </w:r>
      <w:r>
        <w:t>.</w:t>
      </w:r>
    </w:p>
    <w:p>
      <w:pPr>
        <w:jc w:val="both"/>
      </w:pPr>
      <w:r>
        <w:t>Class imbalance means that some categories have many more examples than others: the seed-0 training set has 748 eczema_dermatitis, 387 normal_other, 101 acne and only 30 redness_rosacea cases. Without a correction the network would mainly learn the majority class. Two common corrections [16] are compared in an ablation study, i.e. an experiment that changes one component and keeps everything else identical, to isolate that component's effect. (a) Class-weighted loss: cross-entropy gives each class a weight inversely proportional to its frequency (the total number of cases divided by the number of classes times the class's case count; for seed 0, e.g., 10.6 for redness_rosacea and 0.42 for eczema_dermatitis), and the cases are visited in random order, each once per epoch. (b) Weighted sampling (WeightedRandomSampler [17]): the loss is unweighted, but cases are drawn with replacement (the same case can be drawn several times in one epoch) with probability inversely proportional to the case count of their class, so each class makes up about a quarter of the draws. The two corrections are never combined, as that would correct the imbalance twice.</w:t>
      </w:r>
    </w:p>
    <w:p>
      <w:pPr>
        <w:jc w:val="both"/>
      </w:pPr>
      <w:r>
        <w:t>With weighted sampling a rare case is drawn about ten times per epoch (redness_rosacea: 30 cases for about 316 draws). Because the image and augmentation of a case depend on the seed, the epoch and the case, all copies would have been identical; the script numbers repeated draws and each repeat gets its own image of the case (if it has several) and its own augmentation. The first draw is identical to the one in variant (a), so the correction method is the only difference between the two arms. The known risk of oversampling is overfitting to the few rare cases, i.e. memorising them instead of learning general features; validation on macro-F1 and early stopping limit this risk. The ablation is run for both networks (EfficientNet-B0 and MobileNetV3-Large), and the variant with the best mean validation macro-F1 becomes the photo-only reference in E1.</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jc w:val="both"/>
      </w:pPr>
      <w:r>
        <w:t xml:space="preserve">Evaluation is performed by </w:t>
      </w:r>
      <w:r>
        <w:rPr>
          <w:rFonts w:ascii="Courier New" w:hAnsi="Courier New" w:eastAsia="Courier New" w:cs="Courier New"/>
          <w:sz w:val="19"/>
        </w:rPr>
        <w:t>ml/evaluate.py</w:t>
      </w:r>
      <w:r>
        <w:t>, which reads a standard predictions file (</w:t>
      </w:r>
      <w:r>
        <w:rPr>
          <w:rFonts w:ascii="Courier New" w:hAnsi="Courier New" w:eastAsia="Courier New" w:cs="Courier New"/>
          <w:sz w:val="19"/>
        </w:rPr>
        <w:t>predictions.csv</w:t>
      </w:r>
      <w:r>
        <w:t>, one row per case with the true category, the predicted category, the confidence, eFST, eMST, the seed and the share of hidden answers). Besides macro-F1 and balanced accuracy, it reports precision, recall and F1 for every category. Precision is the share of cases assigned to a category that truly belong to it; recall is the share of a category's cases that were found.</w:t>
      </w:r>
    </w:p>
    <w:p>
      <w:pPr>
        <w:jc w:val="both"/>
      </w:pPr>
      <w:r>
        <w:t>Calibration shows whether the model's confidence matches reality: a well-calibrated model that states 80% confidence is right in about 80% of cases. Confidence is the highest probability the model gives to any category. It is measured by the Expected Calibration Error (ECE) [13]: predictions are split into 15 equal-width confidence bins, and ECE is the size-weighted mean difference between mean confidence and accuracy in each bin. For an informational app the risk-coverage curve [14] also matters: if the app answers only above a confidence threshold and otherwise recommends seeing a professional, the curve gives the accuracy for each share of cases it answers (coverage). The area under the risk curve (AURC) summarises it in one number; lower is better.</w:t>
      </w:r>
    </w:p>
    <w:p>
      <w:pPr>
        <w:jc w:val="both"/>
      </w:pPr>
      <w:r>
        <w:t>Fairness is reported on both tone scales, eFST (I-II, III-IV, V-VI) and eMST (1-3, 4-6, 7-10). For each scale we identify the worst group [15], the tone group with the lowest macro-F1, and its gap to the best group. Only groups with at least 20 cases are eligible, because estimates on smaller groups are too uncertain; excluded groups are listed explicitly. Bootstrap confidence intervals [11] resample cases (</w:t>
      </w:r>
      <w:r>
        <w:rPr>
          <w:rFonts w:ascii="Courier New" w:hAnsi="Courier New" w:eastAsia="Courier New" w:cs="Courier New"/>
          <w:sz w:val="19"/>
        </w:rPr>
        <w:t>case_id</w:t>
      </w:r>
      <w:r>
        <w:t>), not rows: all rows of a case stay together, so observations of the same case are not treated as independent. Results over the five seeds are summarised by mean, standard deviation, minimum and maximum.</w:t>
      </w:r>
    </w:p>
    <w:p>
      <w:pPr>
        <w:pStyle w:val="Heading1"/>
      </w:pPr>
      <w:r>
        <w:t>4. Results</w:t>
      </w:r>
    </w:p>
    <w:p>
      <w:pPr>
        <w:jc w:val="both"/>
      </w:pPr>
      <w:r>
        <w:rPr>
          <w:highlight w:val="yellow"/>
        </w:rPr>
        <w:t>[To be written once experiments are complete.]</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p>
      <w:pPr>
        <w:spacing w:after="120" w:line="276" w:lineRule="auto"/>
        <w:ind w:left="567" w:hanging="567"/>
        <w:jc w:val="left"/>
      </w:pPr>
      <w:r>
        <w:t>[13] C. Guo, G. Pleiss, Y. Sun, K. Q. Weinberger, On Calibration of Modern Neural Networks, ICML 2017. https://arxiv.org/abs/1706.04599</w:t>
      </w:r>
    </w:p>
    <w:p>
      <w:pPr>
        <w:spacing w:after="120" w:line="276" w:lineRule="auto"/>
        <w:ind w:left="567" w:hanging="567"/>
        <w:jc w:val="left"/>
      </w:pPr>
      <w:r>
        <w:t>[14] Y. Geifman, R. El-Yaniv, Selective Classification for Deep Neural Networks, NeurIPS 2017. https://arxiv.org/abs/1705.08500</w:t>
      </w:r>
    </w:p>
    <w:p>
      <w:pPr>
        <w:spacing w:after="120" w:line="276" w:lineRule="auto"/>
        <w:ind w:left="567" w:hanging="567"/>
        <w:jc w:val="left"/>
      </w:pPr>
      <w:r>
        <w:t>[15] S. Sagawa, P. W. Koh, T. B. Hashimoto, P. Liang, Distributionally Robust Neural Networks for Group Shifts, ICLR 2020. https://arxiv.org/abs/1911.08731</w:t>
      </w:r>
    </w:p>
    <w:p>
      <w:pPr>
        <w:spacing w:after="120" w:line="276" w:lineRule="auto"/>
        <w:ind w:left="567" w:hanging="567"/>
        <w:jc w:val="left"/>
      </w:pPr>
      <w:r>
        <w:t>[16] M. Buda, A. Maki, M. A. Mazurowski, A systematic study of the class imbalance problem in convolutional neural networks, Neural Networks 106, 2018. https://arxiv.org/abs/1710.05381</w:t>
      </w:r>
    </w:p>
    <w:p>
      <w:pPr>
        <w:spacing w:after="120" w:line="276" w:lineRule="auto"/>
        <w:ind w:left="567" w:hanging="567"/>
        <w:jc w:val="left"/>
      </w:pPr>
      <w:r>
        <w:t>[17] PyTorch documentation, torch.utils.data.WeightedRandomSampler. https://docs.pytorch.org/docs/stable/data.html#torch.utils.data.WeightedRandomSampler</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