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sz w:val="34"/>
        </w:rPr>
        <w:t>Questionnaire-Augmented Skin-Concern Classification under Missing Answers: A Skin-Tone-Stratified Study</w:t>
      </w:r>
    </w:p>
    <w:p>
      <w:pPr>
        <w:spacing w:before="0" w:after="40"/>
        <w:jc w:val="center"/>
      </w:pPr>
      <w:r>
        <w:rPr>
          <w:sz w:val="24"/>
        </w:rPr>
        <w:t>Daria Giotina</w:t>
      </w:r>
    </w:p>
    <w:p>
      <w:pPr>
        <w:spacing w:before="0" w:after="40"/>
        <w:jc w:val="center"/>
      </w:pPr>
      <w:r>
        <w:rPr>
          <w:i/>
          <w:sz w:val="21"/>
        </w:rPr>
        <w:t>Faculty of Automation, Computers and Electronics, University of Craiova, Romania</w:t>
      </w:r>
    </w:p>
    <w:p>
      <w:pPr>
        <w:spacing w:before="0" w:after="40"/>
        <w:jc w:val="center"/>
      </w:pPr>
      <w:r>
        <w:rPr>
          <w:sz w:val="21"/>
          <w:highlight w:val="yellow"/>
        </w:rPr>
        <w:t>[Supervisor / co-authors to be confirmed]</w:t>
      </w:r>
      <w:r>
        <w:rPr>
          <w:sz w:val="21"/>
        </w:rPr>
        <w:t xml:space="preserve"> · </w:t>
      </w:r>
      <w:r>
        <w:rPr>
          <w:sz w:val="21"/>
          <w:highlight w:val="yellow"/>
        </w:rPr>
        <w:t>[e-mail]</w:t>
      </w:r>
    </w:p>
    <w:p>
      <w:pPr>
        <w:spacing w:before="0" w:after="280"/>
        <w:jc w:val="center"/>
      </w:pPr>
      <w:r>
        <w:rPr>
          <w:i/>
          <w:sz w:val="20"/>
        </w:rPr>
        <w:t>Working draft, October 2026 — target journal to be agreed</w:t>
      </w:r>
    </w:p>
    <w:p>
      <w:pPr>
        <w:keepNext/>
      </w:pPr>
      <w:r>
        <w:rPr>
          <w:b/>
          <w:sz w:val="24"/>
        </w:rPr>
        <w:t>Abstract</w:t>
      </w:r>
    </w:p>
    <w:p>
      <w:pPr>
        <w:jc w:val="both"/>
      </w:pPr>
      <w:r>
        <w:rPr>
          <w:highlight w:val="yellow"/>
        </w:rPr>
        <w:t>[Remaining results (photo-only, fusion, E2-E6) to be added as experiments complete.]</w:t>
      </w:r>
    </w:p>
    <w:p>
      <w:pPr>
        <w:spacing w:after="120"/>
        <w:jc w:val="both"/>
        <w:pBdr>
          <w:bottom w:val="single" w:sz="6" w:space="6" w:color="808080"/>
        </w:pBdr>
      </w:pPr>
      <w:r>
        <w:rPr>
          <w:i/>
        </w:rPr>
        <w:t>Keywords:</w:t>
      </w:r>
      <w:r>
        <w:t xml:space="preserve"> skin-concern classification; multimodal fusion; missing modalities; modality dropout; skin tone; fairness; SCIN.</w:t>
      </w:r>
    </w:p>
    <w:p>
      <w:pPr>
        <w:pStyle w:val="Heading1"/>
      </w:pPr>
      <w:r>
        <w:t>1. Introduction</w:t>
      </w:r>
    </w:p>
    <w:p>
      <w:pPr>
        <w:jc w:val="both"/>
      </w:pPr>
      <w:r>
        <w:t xml:space="preserve">Smartphone applications are increasingly used to obtain personalized information about common skin concerns such as acne, dryness, redness, and hyperpigmentation </w:t>
      </w:r>
      <w:r>
        <w:rPr>
          <w:highlight w:val="yellow"/>
        </w:rPr>
        <w:t>[CITE]</w:t>
      </w:r>
      <w:r>
        <w:t xml:space="preserve">. Access to in-person dermatological expertise is often constrained by cost, geography, and waiting times </w:t>
      </w:r>
      <w:r>
        <w:rPr>
          <w:highlight w:val="yellow"/>
        </w:rPr>
        <w:t>[CITE]</w:t>
      </w:r>
      <w:r>
        <w:t>, which motivates informational tools that help users understand their skin and choose appropriate care routines. We emphasize that the system studied here is an informational aid and not a medical device; it is not intended to replace professional advice.</w:t>
      </w:r>
    </w:p>
    <w:p>
      <w:pPr>
        <w:jc w:val="both"/>
      </w:pPr>
      <w:r>
        <w:t xml:space="preserve">Deep convolutional networks, particularly those fine-tuned from pretrained backbones through transfer learning, have achieved strong results on dermatological image classification </w:t>
      </w:r>
      <w:r>
        <w:rPr>
          <w:highlight w:val="yellow"/>
        </w:rPr>
        <w:t>[CITE]</w:t>
      </w:r>
      <w:r>
        <w:t xml:space="preserve">. Most of this work relies on the photograph alone. Yet information that users can readily provide, such as how long a concern has been present, whether it itches, or which products they use, carries signal that an image cannot capture </w:t>
      </w:r>
      <w:r>
        <w:rPr>
          <w:highlight w:val="yellow"/>
        </w:rPr>
        <w:t>[CITE]</w:t>
      </w:r>
      <w:r>
        <w:t xml:space="preserve">. Multimodal approaches that fuse such self-reported data with image features are therefore attractive, but their value specifically for common skin concerns, and relative to a strong image-only baseline, has not been established </w:t>
      </w:r>
      <w:r>
        <w:rPr>
          <w:highlight w:val="yellow"/>
        </w:rPr>
        <w:t>[CITE]</w:t>
      </w:r>
      <w:r>
        <w:t>.</w:t>
      </w:r>
    </w:p>
    <w:p>
      <w:pPr>
        <w:jc w:val="both"/>
      </w:pPr>
      <w:r>
        <w:t xml:space="preserve">A practical obstacle complicates this picture. In real deployments, users frequently skip questions or abandon a questionnaire entirely, so the questionnaire modality is partially or wholly missing at inference time </w:t>
      </w:r>
      <w:r>
        <w:rPr>
          <w:highlight w:val="yellow"/>
        </w:rPr>
        <w:t>[CITE]</w:t>
      </w:r>
      <w:r>
        <w:t xml:space="preserve">. A model trained only on complete inputs may degrade sharply or behave unpredictably under such conditions. Modality dropout, which randomly masks input modalities during training, is one proposed way to encourage robustness to missing inputs </w:t>
      </w:r>
      <w:r>
        <w:rPr>
          <w:highlight w:val="yellow"/>
        </w:rPr>
        <w:t>[CITE]</w:t>
      </w:r>
      <w:r>
        <w:t>, but its effect in this setting has not been characterized across levels of missingness.</w:t>
      </w:r>
    </w:p>
    <w:p>
      <w:pPr>
        <w:jc w:val="both"/>
      </w:pPr>
      <w:r>
        <w:t xml:space="preserve">A further concern is fairness. Dermatology datasets are known to underrepresent darker skin tones </w:t>
      </w:r>
      <w:r>
        <w:rPr>
          <w:highlight w:val="yellow"/>
        </w:rPr>
        <w:t>[CITE]</w:t>
      </w:r>
      <w:r>
        <w:t xml:space="preserve">, and models trained on them can perform unevenly across groups </w:t>
      </w:r>
      <w:r>
        <w:rPr>
          <w:highlight w:val="yellow"/>
        </w:rPr>
        <w:t>[CITE]</w:t>
      </w:r>
      <w:r>
        <w:t xml:space="preserve">. An improvement in average performance may therefore conceal a loss for specific skin tones, so aggregate metrics are insufficient. Evaluation must be stratified by skin tone using the Fitzpatrick and Monk scales </w:t>
      </w:r>
      <w:r>
        <w:rPr>
          <w:highlight w:val="yellow"/>
        </w:rPr>
        <w:t>[CITE]</w:t>
      </w:r>
      <w:r>
        <w:t>, which are defined in Section 3.2.</w:t>
      </w:r>
    </w:p>
    <w:p>
      <w:pPr>
        <w:jc w:val="both"/>
      </w:pPr>
      <w:r>
        <w:t>This paper addresses these gaps through three research questions:</w:t>
      </w:r>
    </w:p>
    <w:p>
      <w:pPr>
        <w:spacing w:after="60"/>
        <w:ind w:left="850" w:hanging="567"/>
        <w:jc w:val="both"/>
      </w:pPr>
      <w:r>
        <w:rPr>
          <w:b/>
        </w:rPr>
        <w:t xml:space="preserve">RQ1.  </w:t>
      </w:r>
      <w:r>
        <w:t>Does adding self-reported questionnaire data to a photo-based classifier improve classification of common skin concerns compared with the photo alone?</w:t>
      </w:r>
    </w:p>
    <w:p>
      <w:pPr>
        <w:spacing w:after="60"/>
        <w:ind w:left="850" w:hanging="567"/>
        <w:jc w:val="both"/>
      </w:pPr>
      <w:r>
        <w:rPr>
          <w:b/>
        </w:rPr>
        <w:t xml:space="preserve">RQ2.  </w:t>
      </w:r>
      <w:r>
        <w:t>How does performance change when some or all questionnaire answers are missing, as simulated through modality dropout?</w:t>
      </w:r>
    </w:p>
    <w:p>
      <w:pPr>
        <w:spacing w:after="60"/>
        <w:ind w:left="850" w:hanging="567"/>
        <w:jc w:val="both"/>
      </w:pPr>
      <w:r>
        <w:rPr>
          <w:b/>
        </w:rPr>
        <w:t xml:space="preserve">RQ3.  </w:t>
      </w:r>
      <w:r>
        <w:t>Is the benefit or loss from the questionnaire consistent across skin tones?</w:t>
      </w:r>
    </w:p>
    <w:p>
      <w:pPr>
        <w:jc w:val="both"/>
      </w:pPr>
      <w:r>
        <w:t xml:space="preserve">To answer them, we combine a transfer-learned image encoder with a late-fusion questionnaire branch trained with modality dropout. We evaluate it on the Skin Condition Image Network (SCIN) dataset </w:t>
      </w:r>
      <w:r>
        <w:rPr>
          <w:highlight w:val="yellow"/>
        </w:rPr>
        <w:t>[CITE]</w:t>
      </w:r>
      <w:r>
        <w:t xml:space="preserve">, with the Diverse Dermatology Images (DDI) </w:t>
      </w:r>
      <w:r>
        <w:rPr>
          <w:highlight w:val="yellow"/>
        </w:rPr>
        <w:t>[CITE]</w:t>
      </w:r>
      <w:r>
        <w:t xml:space="preserve"> and Fitzpatrick17k </w:t>
      </w:r>
      <w:r>
        <w:rPr>
          <w:highlight w:val="yellow"/>
        </w:rPr>
        <w:t>[CITE]</w:t>
      </w:r>
      <w:r>
        <w:t xml:space="preserve"> datasets as additional sources, and report results stratified by skin tone. We also use Grad-CAM </w:t>
      </w:r>
      <w:r>
        <w:rPr>
          <w:highlight w:val="yellow"/>
        </w:rPr>
        <w:t>[CITE]</w:t>
      </w:r>
      <w:r>
        <w:t xml:space="preserve"> to inspect which image regions drive predictions. </w:t>
      </w:r>
      <w:r>
        <w:rPr>
          <w:highlight w:val="yellow"/>
        </w:rPr>
        <w:t>[Contributions to be finalized once results are available.]</w:t>
      </w:r>
    </w:p>
    <w:p>
      <w:pPr>
        <w:jc w:val="both"/>
      </w:pPr>
      <w:r>
        <w:t>The remainder of the paper is organized as follows. Section 2 reviews related work, Section 3 describes the data and methods, Section 4 reports results, Section 5 discusses them together with limitations, and Section 6 concludes.</w:t>
      </w:r>
    </w:p>
    <w:p>
      <w:pPr>
        <w:pStyle w:val="Heading1"/>
      </w:pPr>
      <w:r>
        <w:t>2. Related Work</w:t>
      </w:r>
    </w:p>
    <w:p>
      <w:pPr>
        <w:jc w:val="both"/>
      </w:pPr>
      <w:r>
        <w:rPr>
          <w:highlight w:val="yellow"/>
        </w:rPr>
        <w:t>[To be written after the systematic literature search. Planned subsections: image-based classification of skin conditions; fusion of images with clinical or self-reported metadata; robustness to missing modalities; skin-tone fairness in dermatology AI.]</w:t>
      </w:r>
    </w:p>
    <w:p>
      <w:pPr>
        <w:pStyle w:val="Heading1"/>
      </w:pPr>
      <w:r>
        <w:t>3. Data and Methods</w:t>
      </w:r>
    </w:p>
    <w:p>
      <w:pPr>
        <w:pStyle w:val="Heading2"/>
      </w:pPr>
      <w:r>
        <w:t>3.1 SCIN dataset</w:t>
      </w:r>
    </w:p>
    <w:p>
      <w:pPr>
        <w:jc w:val="both"/>
      </w:pPr>
      <w:r>
        <w:t xml:space="preserve">We use SCIN release 1.0.0 [1] (https://github.com/google-research-datasets/scin), a crowdsourced dataset of smartphone photographs contributed by US users together with self-reported symptoms, texture, duration and demographics. Each case has up to three photographs and carries dermatologist assessments: weighted differential diagnoses and skin-tone estimates, described in Section 3.2. Case-level metadata are distributed as </w:t>
      </w:r>
      <w:r>
        <w:rPr>
          <w:rFonts w:ascii="Courier New" w:hAnsi="Courier New" w:eastAsia="Courier New" w:cs="Courier New"/>
          <w:sz w:val="19"/>
        </w:rPr>
        <w:t>scin_cases.csv</w:t>
      </w:r>
      <w:r>
        <w:t xml:space="preserve"> and </w:t>
      </w:r>
      <w:r>
        <w:rPr>
          <w:rFonts w:ascii="Courier New" w:hAnsi="Courier New" w:eastAsia="Courier New" w:cs="Courier New"/>
          <w:sz w:val="19"/>
        </w:rPr>
        <w:t>scin_labels.csv</w:t>
      </w:r>
      <w:r>
        <w:t xml:space="preserve">, joined on </w:t>
      </w:r>
      <w:r>
        <w:rPr>
          <w:rFonts w:ascii="Courier New" w:hAnsi="Courier New" w:eastAsia="Courier New" w:cs="Courier New"/>
          <w:sz w:val="19"/>
        </w:rPr>
        <w:t>case_id</w:t>
      </w:r>
      <w:r>
        <w:t xml:space="preserve"> [3]. SCIN is released under the SCIN Data Use License [2] (https://github.com/google-research-datasets/scin/blob/main/LICENSE), which permits sharing and adaptation with attribution and prohibits any attempt to re-identify data subjects; we use the data for research only and do not redistribute images.</w:t>
      </w:r>
    </w:p>
    <w:p>
      <w:pPr>
        <w:pStyle w:val="Heading2"/>
      </w:pPr>
      <w:r>
        <w:t>3.2 Skin-tone scales and groups</w:t>
      </w:r>
    </w:p>
    <w:p>
      <w:pPr>
        <w:jc w:val="both"/>
      </w:pPr>
      <w:r>
        <w:t>Skin-tone analysis uses two scales, both defined here because the derived quantities (eFST, eMST) are used throughout the remainder of the paper.</w:t>
      </w:r>
    </w:p>
    <w:p>
      <w:pPr>
        <w:jc w:val="both"/>
      </w:pPr>
      <w:r>
        <w:t>The Fitzpatrick scale (FST) classifies skin into six types by its reaction to sun: type I (very pale skin) always burns and never tans, type III sometimes burns and tans gradually, and type VI (very dark skin) almost never burns (https://doi.org/10.1001/archderm.1988.01670060015008) [4]. In SCIN, up to three dermatologists assigned each case an FST label from the photographs [3]. We define eFST (estimated Fitzpatrick skin type) as the median of the available labels, rounded half up. eFST is a rater's estimate from a photograph, not a measurement of the skin, and is affected by lighting. It is distinct from the self-reported Fitzpatrick type given by the contributor (</w:t>
      </w:r>
      <w:r>
        <w:rPr>
          <w:rFonts w:ascii="Courier New" w:hAnsi="Courier New" w:eastAsia="Courier New" w:cs="Courier New"/>
          <w:sz w:val="19"/>
        </w:rPr>
        <w:t>fitzpatrick_skin_type</w:t>
      </w:r>
      <w:r>
        <w:t>), which we treat as a questionnaire answer (Section 3.5).</w:t>
      </w:r>
    </w:p>
    <w:p>
      <w:pPr>
        <w:jc w:val="both"/>
      </w:pPr>
      <w:r>
        <w:t>Because single types are sparse (type VI has only 68 cases), we pair them: I–II (lightest skin), III–IV (medium skin) and V–VI (darkest skin). Cases with no FST label form a separate missing group.</w:t>
      </w:r>
    </w:p>
    <w:p>
      <w:pPr>
        <w:jc w:val="both"/>
      </w:pPr>
      <w:r>
        <w:t>The second scale, eMST (estimated Monk skin tone), uses the 10-point Monk scale (https://skintone.google/) [5] as rated by annotators; we group it as 1–3 (light), 4–6 (medium) and 7–10 (dark). eMST is not equivalent to eFST: the two are different measures of skin tone and are reported separately.</w:t>
      </w:r>
    </w:p>
    <w:p>
      <w:pPr>
        <w:pStyle w:val="Heading2"/>
      </w:pPr>
      <w:r>
        <w:t>3.3 Dataset audit</w:t>
      </w:r>
    </w:p>
    <w:p>
      <w:pPr>
        <w:jc w:val="both"/>
      </w:pPr>
      <w:r>
        <w:t>We audited the metadata with a reproducible script (</w:t>
      </w:r>
      <w:r>
        <w:rPr>
          <w:rFonts w:ascii="Courier New" w:hAnsi="Courier New" w:eastAsia="Courier New" w:cs="Courier New"/>
          <w:sz w:val="19"/>
        </w:rPr>
        <w:t>ml/scripts/audit_scin.py</w:t>
      </w:r>
      <w:r>
        <w:t xml:space="preserve">) before any modelling. The dataset contains 5,033 unique cases and 10,407 images (mean 2.07 per case; 38.7% of cases have one image, 15.8% two and 45.5% three); every </w:t>
      </w:r>
      <w:r>
        <w:rPr>
          <w:rFonts w:ascii="Courier New" w:hAnsi="Courier New" w:eastAsia="Courier New" w:cs="Courier New"/>
          <w:sz w:val="19"/>
        </w:rPr>
        <w:t>case_id</w:t>
      </w:r>
      <w:r>
        <w:t xml:space="preserve"> appears exactly once in both files. Multi-select questions are encoded as one YES/blank column per option, so a blank cell means an unticked option rather than a missing value; we therefore measure missingness per question. Uninformative answers (e.g. </w:t>
      </w:r>
      <w:r>
        <w:rPr>
          <w:rFonts w:ascii="Courier New" w:hAnsi="Courier New" w:eastAsia="Courier New" w:cs="Courier New"/>
          <w:sz w:val="19"/>
        </w:rPr>
        <w:t>AGE_UNKNOWN</w:t>
      </w:r>
      <w:r>
        <w:t xml:space="preserve">, </w:t>
      </w:r>
      <w:r>
        <w:rPr>
          <w:rFonts w:ascii="Courier New" w:hAnsi="Courier New" w:eastAsia="Courier New" w:cs="Courier New"/>
          <w:sz w:val="19"/>
        </w:rPr>
        <w:t>OTHER_OR_UNSPECIFIED</w:t>
      </w:r>
      <w:r>
        <w:t>) are counted separately from absent values.</w:t>
      </w:r>
    </w:p>
    <w:p>
      <w:pPr>
        <w:jc w:val="both"/>
      </w:pPr>
      <w:r>
        <w:t>Natural missingness is high and uneven across fields: age group is unknown for 56.9% of cases, self-reported Fitzpatrick type is absent or unidentified for 56.8%, the race/ethnicity question is unanswered for 47.3%, condition symptoms for 25.1%, duration for 20.6%, and texture and body location for about 19%. Real users thus leave a large share of questionnaire items empty, which motivates RQ2.</w:t>
      </w:r>
    </w:p>
    <w:p>
      <w:pPr>
        <w:jc w:val="both"/>
      </w:pPr>
      <w:r>
        <w:t>Table 1 shows the distribution of cases over the skin-tone groups defined in Section 3.2.</w:t>
      </w:r>
    </w:p>
    <w:p>
      <w:pPr>
        <w:pStyle w:val="Caption"/>
      </w:pPr>
      <w:r>
        <w:t xml:space="preserve">Table </w:t>
      </w:r>
      <w:r>
        <w:rPr>
          <w:b/>
        </w:rPr>
        <w:fldChar w:fldCharType="begin"/>
      </w:r>
      <w:r>
        <w:rPr>
          <w:b/>
        </w:rPr>
        <w:instrText xml:space="preserve"> SEQ Table \* ARABIC \r 1 </w:instrText>
      </w:r>
      <w:r>
        <w:rPr>
          <w:b/>
        </w:rPr>
        <w:fldChar w:fldCharType="separate"/>
      </w:r>
      <w:r>
        <w:rPr>
          <w:b/>
        </w:rPr>
        <w:t>1</w:t>
      </w:r>
      <w:r>
        <w:rPr>
          <w:b/>
        </w:rPr>
        <w:fldChar w:fldCharType="end"/>
      </w:r>
      <w:r>
        <w:t>. Estimated skin-tone distribution in SCIN (N = 5,033 cases).</w:t>
      </w:r>
    </w:p>
    <w:tbl>
      <w:tblPr>
        <w:tblW w:type="auto" w:w="0"/>
        <w:jc w:val="center"/>
        <w:tblLayout w:type="fixed"/>
        <w:tblLook w:firstColumn="1" w:firstRow="1" w:lastColumn="0" w:lastRow="0" w:noHBand="0" w:noVBand="1" w:val="04A0"/>
        <w:tblLayout w:type="fixed"/>
        <w:tblCellMar>
          <w:top w:w="30" w:type="dxa"/>
          <w:left w:w="100" w:type="dxa"/>
          <w:bottom w:w="30" w:type="dxa"/>
          <w:right w:w="100" w:type="dxa"/>
        </w:tblCellMar>
        <w:tblBorders>
          <w:top w:val="single" w:sz="12" w:space="0" w:color="000000"/>
          <w:bottom w:val="single" w:sz="12" w:space="0" w:color="000000"/>
        </w:tblBorders>
      </w:tblPr>
      <w:tblGrid>
        <w:gridCol w:w="4252"/>
        <w:gridCol w:w="1984"/>
        <w:gridCol w:w="1984"/>
      </w:tblGrid>
      <w:tr>
        <w:trPr>
          <w:cantSplit/>
          <w:tblHeader/>
        </w:trPr>
        <w:tc>
          <w:tcPr>
            <w:tcW w:type="dxa" w:w="4252"/>
            <w:tcBorders>
              <w:bottom w:val="single" w:sz="6" w:space="0" w:color="000000"/>
            </w:tcBorders>
          </w:tcPr>
          <w:p>
            <w:pPr>
              <w:pStyle w:val="TableText"/>
              <w:jc w:val="left"/>
            </w:pPr>
            <w:r>
              <w:rPr>
                <w:b/>
              </w:rPr>
              <w:t>Group</w:t>
            </w:r>
          </w:p>
        </w:tc>
        <w:tc>
          <w:tcPr>
            <w:tcW w:type="dxa" w:w="1984"/>
            <w:tcBorders>
              <w:bottom w:val="single" w:sz="6" w:space="0" w:color="000000"/>
            </w:tcBorders>
          </w:tcPr>
          <w:p>
            <w:pPr>
              <w:pStyle w:val="TableText"/>
              <w:jc w:val="center"/>
            </w:pPr>
            <w:r>
              <w:rPr>
                <w:b/>
              </w:rPr>
              <w:t>Cases</w:t>
            </w:r>
          </w:p>
        </w:tc>
        <w:tc>
          <w:tcPr>
            <w:tcW w:type="dxa" w:w="1984"/>
            <w:tcBorders>
              <w:bottom w:val="single" w:sz="6" w:space="0" w:color="000000"/>
            </w:tcBorders>
          </w:tcPr>
          <w:p>
            <w:pPr>
              <w:pStyle w:val="TableText"/>
              <w:jc w:val="center"/>
            </w:pPr>
            <w:r>
              <w:rPr>
                <w:b/>
              </w:rPr>
              <w:t>%</w:t>
            </w:r>
          </w:p>
        </w:tc>
      </w:tr>
      <w:tr>
        <w:trPr>
          <w:cantSplit/>
        </w:trPr>
        <w:tc>
          <w:tcPr>
            <w:tcW w:type="dxa" w:w="8220"/>
            <w:gridSpan w:val="3"/>
          </w:tcPr>
          <w:p>
            <w:pPr>
              <w:pStyle w:val="TableText"/>
            </w:pPr>
            <w:r/>
            <w:r>
              <w:rPr>
                <w:b/>
                <w:i/>
              </w:rPr>
              <w:t>Estimated Fitzpatrick skin type (eFST)</w:t>
            </w:r>
          </w:p>
        </w:tc>
      </w:tr>
      <w:tr>
        <w:trPr>
          <w:cantSplit/>
        </w:trPr>
        <w:tc>
          <w:tcPr>
            <w:tcW w:type="dxa" w:w="4252"/>
          </w:tcPr>
          <w:p>
            <w:pPr>
              <w:pStyle w:val="TableText"/>
              <w:jc w:val="left"/>
            </w:pPr>
            <w:r>
              <w:t>eFST I–II</w:t>
            </w:r>
          </w:p>
        </w:tc>
        <w:tc>
          <w:tcPr>
            <w:tcW w:type="dxa" w:w="1984"/>
          </w:tcPr>
          <w:p>
            <w:pPr>
              <w:pStyle w:val="TableText"/>
              <w:jc w:val="right"/>
            </w:pPr>
            <w:r>
              <w:t>1,773</w:t>
            </w:r>
          </w:p>
        </w:tc>
        <w:tc>
          <w:tcPr>
            <w:tcW w:type="dxa" w:w="1984"/>
          </w:tcPr>
          <w:p>
            <w:pPr>
              <w:pStyle w:val="TableText"/>
              <w:jc w:val="right"/>
            </w:pPr>
            <w:r>
              <w:t>35.2</w:t>
            </w:r>
          </w:p>
        </w:tc>
      </w:tr>
      <w:tr>
        <w:trPr>
          <w:cantSplit/>
        </w:trPr>
        <w:tc>
          <w:tcPr>
            <w:tcW w:type="dxa" w:w="4252"/>
          </w:tcPr>
          <w:p>
            <w:pPr>
              <w:pStyle w:val="TableText"/>
              <w:jc w:val="left"/>
            </w:pPr>
            <w:r>
              <w:t>eFST III–IV</w:t>
            </w:r>
          </w:p>
        </w:tc>
        <w:tc>
          <w:tcPr>
            <w:tcW w:type="dxa" w:w="1984"/>
          </w:tcPr>
          <w:p>
            <w:pPr>
              <w:pStyle w:val="TableText"/>
              <w:jc w:val="right"/>
            </w:pPr>
            <w:r>
              <w:t>2,161</w:t>
            </w:r>
          </w:p>
        </w:tc>
        <w:tc>
          <w:tcPr>
            <w:tcW w:type="dxa" w:w="1984"/>
          </w:tcPr>
          <w:p>
            <w:pPr>
              <w:pStyle w:val="TableText"/>
              <w:jc w:val="right"/>
            </w:pPr>
            <w:r>
              <w:t>42.9</w:t>
            </w:r>
          </w:p>
        </w:tc>
      </w:tr>
      <w:tr>
        <w:trPr>
          <w:cantSplit/>
        </w:trPr>
        <w:tc>
          <w:tcPr>
            <w:tcW w:type="dxa" w:w="4252"/>
          </w:tcPr>
          <w:p>
            <w:pPr>
              <w:pStyle w:val="TableText"/>
              <w:jc w:val="left"/>
            </w:pPr>
            <w:r>
              <w:t>eFST V–VI</w:t>
            </w:r>
          </w:p>
        </w:tc>
        <w:tc>
          <w:tcPr>
            <w:tcW w:type="dxa" w:w="1984"/>
          </w:tcPr>
          <w:p>
            <w:pPr>
              <w:pStyle w:val="TableText"/>
              <w:jc w:val="right"/>
            </w:pPr>
            <w:r>
              <w:t>436</w:t>
            </w:r>
          </w:p>
        </w:tc>
        <w:tc>
          <w:tcPr>
            <w:tcW w:type="dxa" w:w="1984"/>
          </w:tcPr>
          <w:p>
            <w:pPr>
              <w:pStyle w:val="TableText"/>
              <w:jc w:val="right"/>
            </w:pPr>
            <w:r>
              <w:t>8.7</w:t>
            </w:r>
          </w:p>
        </w:tc>
      </w:tr>
      <w:tr>
        <w:trPr>
          <w:cantSplit/>
        </w:trPr>
        <w:tc>
          <w:tcPr>
            <w:tcW w:type="dxa" w:w="4252"/>
          </w:tcPr>
          <w:p>
            <w:pPr>
              <w:pStyle w:val="TableText"/>
              <w:jc w:val="left"/>
            </w:pPr>
            <w:r>
              <w:t>eFST missing</w:t>
            </w:r>
          </w:p>
        </w:tc>
        <w:tc>
          <w:tcPr>
            <w:tcW w:type="dxa" w:w="1984"/>
          </w:tcPr>
          <w:p>
            <w:pPr>
              <w:pStyle w:val="TableText"/>
              <w:jc w:val="right"/>
            </w:pPr>
            <w:r>
              <w:t>663</w:t>
            </w:r>
          </w:p>
        </w:tc>
        <w:tc>
          <w:tcPr>
            <w:tcW w:type="dxa" w:w="1984"/>
          </w:tcPr>
          <w:p>
            <w:pPr>
              <w:pStyle w:val="TableText"/>
              <w:jc w:val="right"/>
            </w:pPr>
            <w:r>
              <w:t>13.2</w:t>
            </w:r>
          </w:p>
        </w:tc>
      </w:tr>
      <w:tr>
        <w:trPr>
          <w:cantSplit/>
        </w:trPr>
        <w:tc>
          <w:tcPr>
            <w:tcW w:type="dxa" w:w="8220"/>
            <w:gridSpan w:val="3"/>
          </w:tcPr>
          <w:p>
            <w:pPr>
              <w:pStyle w:val="TableText"/>
            </w:pPr>
            <w:r/>
            <w:r>
              <w:rPr>
                <w:b/>
                <w:i/>
              </w:rPr>
              <w:t>Estimated Monk skin tone (eMST, US annotators)</w:t>
            </w:r>
          </w:p>
        </w:tc>
      </w:tr>
      <w:tr>
        <w:trPr>
          <w:cantSplit/>
        </w:trPr>
        <w:tc>
          <w:tcPr>
            <w:tcW w:type="dxa" w:w="4252"/>
          </w:tcPr>
          <w:p>
            <w:pPr>
              <w:pStyle w:val="TableText"/>
              <w:jc w:val="left"/>
            </w:pPr>
            <w:r>
              <w:t>eMST 1–3</w:t>
            </w:r>
          </w:p>
        </w:tc>
        <w:tc>
          <w:tcPr>
            <w:tcW w:type="dxa" w:w="1984"/>
          </w:tcPr>
          <w:p>
            <w:pPr>
              <w:pStyle w:val="TableText"/>
              <w:jc w:val="right"/>
            </w:pPr>
            <w:r>
              <w:t>3,502</w:t>
            </w:r>
          </w:p>
        </w:tc>
        <w:tc>
          <w:tcPr>
            <w:tcW w:type="dxa" w:w="1984"/>
          </w:tcPr>
          <w:p>
            <w:pPr>
              <w:pStyle w:val="TableText"/>
              <w:jc w:val="right"/>
            </w:pPr>
            <w:r>
              <w:t>69.6</w:t>
            </w:r>
          </w:p>
        </w:tc>
      </w:tr>
      <w:tr>
        <w:trPr>
          <w:cantSplit/>
        </w:trPr>
        <w:tc>
          <w:tcPr>
            <w:tcW w:type="dxa" w:w="4252"/>
          </w:tcPr>
          <w:p>
            <w:pPr>
              <w:pStyle w:val="TableText"/>
              <w:jc w:val="left"/>
            </w:pPr>
            <w:r>
              <w:t>eMST 4–6</w:t>
            </w:r>
          </w:p>
        </w:tc>
        <w:tc>
          <w:tcPr>
            <w:tcW w:type="dxa" w:w="1984"/>
          </w:tcPr>
          <w:p>
            <w:pPr>
              <w:pStyle w:val="TableText"/>
              <w:jc w:val="right"/>
            </w:pPr>
            <w:r>
              <w:t>1,296</w:t>
            </w:r>
          </w:p>
        </w:tc>
        <w:tc>
          <w:tcPr>
            <w:tcW w:type="dxa" w:w="1984"/>
          </w:tcPr>
          <w:p>
            <w:pPr>
              <w:pStyle w:val="TableText"/>
              <w:jc w:val="right"/>
            </w:pPr>
            <w:r>
              <w:t>25.8</w:t>
            </w:r>
          </w:p>
        </w:tc>
      </w:tr>
      <w:tr>
        <w:trPr>
          <w:cantSplit/>
        </w:trPr>
        <w:tc>
          <w:tcPr>
            <w:tcW w:type="dxa" w:w="4252"/>
          </w:tcPr>
          <w:p>
            <w:pPr>
              <w:pStyle w:val="TableText"/>
              <w:jc w:val="left"/>
            </w:pPr>
            <w:r>
              <w:t>eMST 7–10</w:t>
            </w:r>
          </w:p>
        </w:tc>
        <w:tc>
          <w:tcPr>
            <w:tcW w:type="dxa" w:w="1984"/>
          </w:tcPr>
          <w:p>
            <w:pPr>
              <w:pStyle w:val="TableText"/>
              <w:jc w:val="right"/>
            </w:pPr>
            <w:r>
              <w:t>207</w:t>
            </w:r>
          </w:p>
        </w:tc>
        <w:tc>
          <w:tcPr>
            <w:tcW w:type="dxa" w:w="1984"/>
          </w:tcPr>
          <w:p>
            <w:pPr>
              <w:pStyle w:val="TableText"/>
              <w:jc w:val="right"/>
            </w:pPr>
            <w:r>
              <w:t>4.1</w:t>
            </w:r>
          </w:p>
        </w:tc>
      </w:tr>
      <w:tr>
        <w:trPr>
          <w:cantSplit/>
        </w:trPr>
        <w:tc>
          <w:tcPr>
            <w:tcW w:type="dxa" w:w="4252"/>
          </w:tcPr>
          <w:p>
            <w:pPr>
              <w:pStyle w:val="TableText"/>
              <w:jc w:val="left"/>
            </w:pPr>
            <w:r>
              <w:t>eMST missing</w:t>
            </w:r>
          </w:p>
        </w:tc>
        <w:tc>
          <w:tcPr>
            <w:tcW w:type="dxa" w:w="1984"/>
          </w:tcPr>
          <w:p>
            <w:pPr>
              <w:pStyle w:val="TableText"/>
              <w:jc w:val="right"/>
            </w:pPr>
            <w:r>
              <w:t>28</w:t>
            </w:r>
          </w:p>
        </w:tc>
        <w:tc>
          <w:tcPr>
            <w:tcW w:type="dxa" w:w="1984"/>
          </w:tcPr>
          <w:p>
            <w:pPr>
              <w:pStyle w:val="TableText"/>
              <w:jc w:val="right"/>
            </w:pPr>
            <w:r>
              <w:t>0.6</w:t>
            </w:r>
          </w:p>
        </w:tc>
      </w:tr>
    </w:tbl>
    <w:p>
      <w:pPr>
        <w:pStyle w:val="TableSource"/>
      </w:pPr>
      <w:r>
        <w:t>Source: own audit of SCIN release 1.0.0 [1].</w:t>
      </w:r>
    </w:p>
    <w:p>
      <w:pPr>
        <w:jc w:val="both"/>
      </w:pPr>
      <w:r>
        <w:t>The distribution is imbalanced. By the definition in Section 3.2, eFST is the median of up to three dermatologist labels; 73.7% of cases have a single label and 13.2% have none. Darker tones are under-represented: eFST V–VI covers 8.7% of cases and type VI only 68 cases (1.35%). On the Monk scale, eMST 7–10 covers 4.1% of cases according to US annotators but only 1.0% according to India annotators, so the annotator pool must be fixed and reported. Estimates for darker groups will carry wide confidence intervals.</w:t>
      </w:r>
    </w:p>
    <w:p>
      <w:pPr>
        <w:jc w:val="both"/>
      </w:pPr>
      <w:r>
        <w:t>Weighted dermatologist condition labels are available for 3,061 cases (60.8%); the first dermatologist rated image quality insufficient for 38.3% of cases. These labels are retrospective differential assessments, not clinically confirmed outcomes, and our metrics therefore measure agreement with dermatologist labels. The most frequent top-weighted labels are eczema (488), allergic contact dermatitis (270), urticaria (214), insect bite (185) and folliculitis (142), while acne (61) and rosacea (29) are rare; these counts constrain the final class set (Section 3.4).</w:t>
      </w:r>
    </w:p>
    <w:p>
      <w:pPr>
        <w:pStyle w:val="Heading2"/>
      </w:pPr>
      <w:r>
        <w:t>3.4 Target skin-concern categories</w:t>
      </w:r>
    </w:p>
    <w:p>
      <w:pPr>
        <w:jc w:val="both"/>
      </w:pPr>
      <w:r>
        <w:t xml:space="preserve">SCIN condition strings number over 370 distinct dermatologist differentials, most of them rare, so we group them into five target categories: </w:t>
      </w:r>
      <w:r>
        <w:rPr>
          <w:rFonts w:ascii="Courier New" w:hAnsi="Courier New" w:eastAsia="Courier New" w:cs="Courier New"/>
          <w:sz w:val="19"/>
        </w:rPr>
        <w:t>acne</w:t>
      </w:r>
      <w:r>
        <w:t xml:space="preserve">, </w:t>
      </w:r>
      <w:r>
        <w:rPr>
          <w:rFonts w:ascii="Courier New" w:hAnsi="Courier New" w:eastAsia="Courier New" w:cs="Courier New"/>
          <w:sz w:val="19"/>
        </w:rPr>
        <w:t>eczema_dermatitis</w:t>
      </w:r>
      <w:r>
        <w:t xml:space="preserve">, </w:t>
      </w:r>
      <w:r>
        <w:rPr>
          <w:rFonts w:ascii="Courier New" w:hAnsi="Courier New" w:eastAsia="Courier New" w:cs="Courier New"/>
          <w:sz w:val="19"/>
        </w:rPr>
        <w:t>redness_rosacea</w:t>
      </w:r>
      <w:r>
        <w:t xml:space="preserve">, </w:t>
      </w:r>
      <w:r>
        <w:rPr>
          <w:rFonts w:ascii="Courier New" w:hAnsi="Courier New" w:eastAsia="Courier New" w:cs="Courier New"/>
          <w:sz w:val="19"/>
        </w:rPr>
        <w:t>normal_other</w:t>
      </w:r>
      <w:r>
        <w:t xml:space="preserve"> and </w:t>
      </w:r>
      <w:r>
        <w:rPr>
          <w:rFonts w:ascii="Courier New" w:hAnsi="Courier New" w:eastAsia="Courier New" w:cs="Courier New"/>
          <w:sz w:val="19"/>
        </w:rPr>
        <w:t>excluded</w:t>
      </w:r>
      <w:r>
        <w:t xml:space="preserve"> (</w:t>
      </w:r>
      <w:r>
        <w:rPr>
          <w:rFonts w:ascii="Courier New" w:hAnsi="Courier New" w:eastAsia="Courier New" w:cs="Courier New"/>
          <w:sz w:val="19"/>
        </w:rPr>
        <w:t>ml/labels/label_map.yaml</w:t>
      </w:r>
      <w:r>
        <w:t xml:space="preserve">, built by </w:t>
      </w:r>
      <w:r>
        <w:rPr>
          <w:rFonts w:ascii="Courier New" w:hAnsi="Courier New" w:eastAsia="Courier New" w:cs="Courier New"/>
          <w:sz w:val="19"/>
        </w:rPr>
        <w:t>ml/labels/build_labels.py</w:t>
      </w:r>
      <w:r>
        <w:t xml:space="preserve">). For each </w:t>
      </w:r>
      <w:r>
        <w:rPr>
          <w:rFonts w:ascii="Courier New" w:hAnsi="Courier New" w:eastAsia="Courier New" w:cs="Courier New"/>
          <w:sz w:val="19"/>
        </w:rPr>
        <w:t>case_id</w:t>
      </w:r>
      <w:r>
        <w:t xml:space="preserve">, the weights of strings mapped to the same category are summed; the category with the largest sum becomes the primary label if the sum reaches a configurable threshold (0.40). Ties, sub-threshold cases and unmapped strings are labelled </w:t>
      </w:r>
      <w:r>
        <w:rPr>
          <w:rFonts w:ascii="Courier New" w:hAnsi="Courier New" w:eastAsia="Courier New" w:cs="Courier New"/>
          <w:sz w:val="19"/>
        </w:rPr>
        <w:t>excluded</w:t>
      </w:r>
      <w:r>
        <w:t>. These are coarse skin-concern groupings, not clinical classes. The string-to-category mapping is an author decision (e.g. folliculitis is grouped with acne) and is a limitation.</w:t>
      </w:r>
    </w:p>
    <w:p>
      <w:pPr>
        <w:jc w:val="both"/>
      </w:pPr>
      <w:r>
        <w:t>Of 5,033 cases, 144 are acne, 1,068 eczema_dermatitis, 44 redness_rosacea, 553 normal_other and 3,224 excluded (1,972 of which have no weighted label). Table 2 gives the distribution by eFST group. Only 10 acne and 1 redness_rosacea cases fall in eFST V–VI, so per-tone estimates for these categories will have very wide confidence intervals.</w:t>
      </w:r>
    </w:p>
    <w:p>
      <w:pPr>
        <w:pStyle w:val="Caption"/>
      </w:pPr>
      <w:r>
        <w:t xml:space="preserve">Table </w:t>
      </w:r>
      <w:r>
        <w:rPr>
          <w:b/>
        </w:rPr>
        <w:fldChar w:fldCharType="begin"/>
      </w:r>
      <w:r>
        <w:rPr>
          <w:b/>
        </w:rPr>
        <w:instrText xml:space="preserve"> SEQ Table \* ARABIC </w:instrText>
      </w:r>
      <w:r>
        <w:rPr>
          <w:b/>
        </w:rPr>
        <w:fldChar w:fldCharType="separate"/>
      </w:r>
      <w:r>
        <w:rPr>
          <w:b/>
        </w:rPr>
        <w:t>2</w:t>
      </w:r>
      <w:r>
        <w:rPr>
          <w:b/>
        </w:rPr>
        <w:fldChar w:fldCharType="end"/>
      </w:r>
      <w:r>
        <w:t>. Target categories by eFST group (SCIN, threshold 0.40).</w:t>
      </w:r>
    </w:p>
    <w:tbl>
      <w:tblPr>
        <w:tblW w:type="auto" w:w="0"/>
        <w:jc w:val="center"/>
        <w:tblLayout w:type="fixed"/>
        <w:tblLook w:firstColumn="1" w:firstRow="1" w:lastColumn="0" w:lastRow="0" w:noHBand="0" w:noVBand="1" w:val="04A0"/>
        <w:tblLayout w:type="fixed"/>
        <w:tblCellMar>
          <w:top w:w="30" w:type="dxa"/>
          <w:left w:w="100" w:type="dxa"/>
          <w:bottom w:w="30" w:type="dxa"/>
          <w:right w:w="100" w:type="dxa"/>
        </w:tblCellMar>
        <w:tblBorders>
          <w:top w:val="single" w:sz="12" w:space="0" w:color="000000"/>
          <w:bottom w:val="single" w:sz="12" w:space="0" w:color="000000"/>
        </w:tblBorders>
      </w:tblPr>
      <w:tblGrid>
        <w:gridCol w:w="2381"/>
        <w:gridCol w:w="1304"/>
        <w:gridCol w:w="1417"/>
        <w:gridCol w:w="1304"/>
        <w:gridCol w:w="1417"/>
        <w:gridCol w:w="1247"/>
      </w:tblGrid>
      <w:tr>
        <w:trPr>
          <w:cantSplit/>
          <w:tblHeader/>
        </w:trPr>
        <w:tc>
          <w:tcPr>
            <w:tcW w:type="dxa" w:w="2381"/>
            <w:tcBorders>
              <w:bottom w:val="single" w:sz="6" w:space="0" w:color="000000"/>
            </w:tcBorders>
          </w:tcPr>
          <w:p>
            <w:pPr>
              <w:pStyle w:val="TableText"/>
              <w:jc w:val="left"/>
            </w:pPr>
            <w:r>
              <w:rPr>
                <w:b/>
              </w:rPr>
              <w:t>Category</w:t>
            </w:r>
          </w:p>
        </w:tc>
        <w:tc>
          <w:tcPr>
            <w:tcW w:type="dxa" w:w="1304"/>
            <w:tcBorders>
              <w:bottom w:val="single" w:sz="6" w:space="0" w:color="000000"/>
            </w:tcBorders>
          </w:tcPr>
          <w:p>
            <w:pPr>
              <w:pStyle w:val="TableText"/>
              <w:jc w:val="center"/>
            </w:pPr>
            <w:r>
              <w:rPr>
                <w:b/>
              </w:rPr>
              <w:t>eFST I–II</w:t>
            </w:r>
          </w:p>
        </w:tc>
        <w:tc>
          <w:tcPr>
            <w:tcW w:type="dxa" w:w="1417"/>
            <w:tcBorders>
              <w:bottom w:val="single" w:sz="6" w:space="0" w:color="000000"/>
            </w:tcBorders>
          </w:tcPr>
          <w:p>
            <w:pPr>
              <w:pStyle w:val="TableText"/>
              <w:jc w:val="center"/>
            </w:pPr>
            <w:r>
              <w:rPr>
                <w:b/>
              </w:rPr>
              <w:t>eFST III–IV</w:t>
            </w:r>
          </w:p>
        </w:tc>
        <w:tc>
          <w:tcPr>
            <w:tcW w:type="dxa" w:w="1304"/>
            <w:tcBorders>
              <w:bottom w:val="single" w:sz="6" w:space="0" w:color="000000"/>
            </w:tcBorders>
          </w:tcPr>
          <w:p>
            <w:pPr>
              <w:pStyle w:val="TableText"/>
              <w:jc w:val="center"/>
            </w:pPr>
            <w:r>
              <w:rPr>
                <w:b/>
              </w:rPr>
              <w:t>eFST V–VI</w:t>
            </w:r>
          </w:p>
        </w:tc>
        <w:tc>
          <w:tcPr>
            <w:tcW w:type="dxa" w:w="1417"/>
            <w:tcBorders>
              <w:bottom w:val="single" w:sz="6" w:space="0" w:color="000000"/>
            </w:tcBorders>
          </w:tcPr>
          <w:p>
            <w:pPr>
              <w:pStyle w:val="TableText"/>
              <w:jc w:val="center"/>
            </w:pPr>
            <w:r>
              <w:rPr>
                <w:b/>
              </w:rPr>
              <w:t>eFST missing</w:t>
            </w:r>
          </w:p>
        </w:tc>
        <w:tc>
          <w:tcPr>
            <w:tcW w:type="dxa" w:w="1247"/>
            <w:tcBorders>
              <w:bottom w:val="single" w:sz="6" w:space="0" w:color="000000"/>
            </w:tcBorders>
          </w:tcPr>
          <w:p>
            <w:pPr>
              <w:pStyle w:val="TableText"/>
              <w:jc w:val="center"/>
            </w:pPr>
            <w:r>
              <w:rPr>
                <w:b/>
              </w:rPr>
              <w:t>Total</w:t>
            </w:r>
          </w:p>
        </w:tc>
      </w:tr>
      <w:tr>
        <w:trPr>
          <w:cantSplit/>
        </w:trPr>
        <w:tc>
          <w:tcPr>
            <w:tcW w:type="dxa" w:w="2381"/>
          </w:tcPr>
          <w:p>
            <w:pPr>
              <w:pStyle w:val="TableText"/>
              <w:jc w:val="left"/>
            </w:pPr>
            <w:r>
              <w:t>acne</w:t>
            </w:r>
          </w:p>
        </w:tc>
        <w:tc>
          <w:tcPr>
            <w:tcW w:type="dxa" w:w="1304"/>
          </w:tcPr>
          <w:p>
            <w:pPr>
              <w:pStyle w:val="TableText"/>
              <w:jc w:val="right"/>
            </w:pPr>
            <w:r>
              <w:t>55</w:t>
            </w:r>
          </w:p>
        </w:tc>
        <w:tc>
          <w:tcPr>
            <w:tcW w:type="dxa" w:w="1417"/>
          </w:tcPr>
          <w:p>
            <w:pPr>
              <w:pStyle w:val="TableText"/>
              <w:jc w:val="right"/>
            </w:pPr>
            <w:r>
              <w:t>77</w:t>
            </w:r>
          </w:p>
        </w:tc>
        <w:tc>
          <w:tcPr>
            <w:tcW w:type="dxa" w:w="1304"/>
          </w:tcPr>
          <w:p>
            <w:pPr>
              <w:pStyle w:val="TableText"/>
              <w:jc w:val="right"/>
            </w:pPr>
            <w:r>
              <w:t>10</w:t>
            </w:r>
          </w:p>
        </w:tc>
        <w:tc>
          <w:tcPr>
            <w:tcW w:type="dxa" w:w="1417"/>
          </w:tcPr>
          <w:p>
            <w:pPr>
              <w:pStyle w:val="TableText"/>
              <w:jc w:val="right"/>
            </w:pPr>
            <w:r>
              <w:t>2</w:t>
            </w:r>
          </w:p>
        </w:tc>
        <w:tc>
          <w:tcPr>
            <w:tcW w:type="dxa" w:w="1247"/>
          </w:tcPr>
          <w:p>
            <w:pPr>
              <w:pStyle w:val="TableText"/>
              <w:jc w:val="right"/>
            </w:pPr>
            <w:r>
              <w:t>144</w:t>
            </w:r>
          </w:p>
        </w:tc>
      </w:tr>
      <w:tr>
        <w:trPr>
          <w:cantSplit/>
        </w:trPr>
        <w:tc>
          <w:tcPr>
            <w:tcW w:type="dxa" w:w="2381"/>
          </w:tcPr>
          <w:p>
            <w:pPr>
              <w:pStyle w:val="TableText"/>
              <w:jc w:val="left"/>
            </w:pPr>
            <w:r>
              <w:t>eczema_dermatitis</w:t>
            </w:r>
          </w:p>
        </w:tc>
        <w:tc>
          <w:tcPr>
            <w:tcW w:type="dxa" w:w="1304"/>
          </w:tcPr>
          <w:p>
            <w:pPr>
              <w:pStyle w:val="TableText"/>
              <w:jc w:val="right"/>
            </w:pPr>
            <w:r>
              <w:t>478</w:t>
            </w:r>
          </w:p>
        </w:tc>
        <w:tc>
          <w:tcPr>
            <w:tcW w:type="dxa" w:w="1417"/>
          </w:tcPr>
          <w:p>
            <w:pPr>
              <w:pStyle w:val="TableText"/>
              <w:jc w:val="right"/>
            </w:pPr>
            <w:r>
              <w:t>460</w:t>
            </w:r>
          </w:p>
        </w:tc>
        <w:tc>
          <w:tcPr>
            <w:tcW w:type="dxa" w:w="1304"/>
          </w:tcPr>
          <w:p>
            <w:pPr>
              <w:pStyle w:val="TableText"/>
              <w:jc w:val="right"/>
            </w:pPr>
            <w:r>
              <w:t>89</w:t>
            </w:r>
          </w:p>
        </w:tc>
        <w:tc>
          <w:tcPr>
            <w:tcW w:type="dxa" w:w="1417"/>
          </w:tcPr>
          <w:p>
            <w:pPr>
              <w:pStyle w:val="TableText"/>
              <w:jc w:val="right"/>
            </w:pPr>
            <w:r>
              <w:t>41</w:t>
            </w:r>
          </w:p>
        </w:tc>
        <w:tc>
          <w:tcPr>
            <w:tcW w:type="dxa" w:w="1247"/>
          </w:tcPr>
          <w:p>
            <w:pPr>
              <w:pStyle w:val="TableText"/>
              <w:jc w:val="right"/>
            </w:pPr>
            <w:r>
              <w:t>1,068</w:t>
            </w:r>
          </w:p>
        </w:tc>
      </w:tr>
      <w:tr>
        <w:trPr>
          <w:cantSplit/>
        </w:trPr>
        <w:tc>
          <w:tcPr>
            <w:tcW w:type="dxa" w:w="2381"/>
          </w:tcPr>
          <w:p>
            <w:pPr>
              <w:pStyle w:val="TableText"/>
              <w:jc w:val="left"/>
            </w:pPr>
            <w:r>
              <w:t>redness_rosacea</w:t>
            </w:r>
          </w:p>
        </w:tc>
        <w:tc>
          <w:tcPr>
            <w:tcW w:type="dxa" w:w="1304"/>
          </w:tcPr>
          <w:p>
            <w:pPr>
              <w:pStyle w:val="TableText"/>
              <w:jc w:val="right"/>
            </w:pPr>
            <w:r>
              <w:t>30</w:t>
            </w:r>
          </w:p>
        </w:tc>
        <w:tc>
          <w:tcPr>
            <w:tcW w:type="dxa" w:w="1417"/>
          </w:tcPr>
          <w:p>
            <w:pPr>
              <w:pStyle w:val="TableText"/>
              <w:jc w:val="right"/>
            </w:pPr>
            <w:r>
              <w:t>11</w:t>
            </w:r>
          </w:p>
        </w:tc>
        <w:tc>
          <w:tcPr>
            <w:tcW w:type="dxa" w:w="1304"/>
          </w:tcPr>
          <w:p>
            <w:pPr>
              <w:pStyle w:val="TableText"/>
              <w:jc w:val="right"/>
            </w:pPr>
            <w:r>
              <w:t>1</w:t>
            </w:r>
          </w:p>
        </w:tc>
        <w:tc>
          <w:tcPr>
            <w:tcW w:type="dxa" w:w="1417"/>
          </w:tcPr>
          <w:p>
            <w:pPr>
              <w:pStyle w:val="TableText"/>
              <w:jc w:val="right"/>
            </w:pPr>
            <w:r>
              <w:t>2</w:t>
            </w:r>
          </w:p>
        </w:tc>
        <w:tc>
          <w:tcPr>
            <w:tcW w:type="dxa" w:w="1247"/>
          </w:tcPr>
          <w:p>
            <w:pPr>
              <w:pStyle w:val="TableText"/>
              <w:jc w:val="right"/>
            </w:pPr>
            <w:r>
              <w:t>44</w:t>
            </w:r>
          </w:p>
        </w:tc>
      </w:tr>
      <w:tr>
        <w:trPr>
          <w:cantSplit/>
        </w:trPr>
        <w:tc>
          <w:tcPr>
            <w:tcW w:type="dxa" w:w="2381"/>
          </w:tcPr>
          <w:p>
            <w:pPr>
              <w:pStyle w:val="TableText"/>
              <w:jc w:val="left"/>
            </w:pPr>
            <w:r>
              <w:t>normal_other</w:t>
            </w:r>
          </w:p>
        </w:tc>
        <w:tc>
          <w:tcPr>
            <w:tcW w:type="dxa" w:w="1304"/>
          </w:tcPr>
          <w:p>
            <w:pPr>
              <w:pStyle w:val="TableText"/>
              <w:jc w:val="right"/>
            </w:pPr>
            <w:r>
              <w:t>216</w:t>
            </w:r>
          </w:p>
        </w:tc>
        <w:tc>
          <w:tcPr>
            <w:tcW w:type="dxa" w:w="1417"/>
          </w:tcPr>
          <w:p>
            <w:pPr>
              <w:pStyle w:val="TableText"/>
              <w:jc w:val="right"/>
            </w:pPr>
            <w:r>
              <w:t>258</w:t>
            </w:r>
          </w:p>
        </w:tc>
        <w:tc>
          <w:tcPr>
            <w:tcW w:type="dxa" w:w="1304"/>
          </w:tcPr>
          <w:p>
            <w:pPr>
              <w:pStyle w:val="TableText"/>
              <w:jc w:val="right"/>
            </w:pPr>
            <w:r>
              <w:t>49</w:t>
            </w:r>
          </w:p>
        </w:tc>
        <w:tc>
          <w:tcPr>
            <w:tcW w:type="dxa" w:w="1417"/>
          </w:tcPr>
          <w:p>
            <w:pPr>
              <w:pStyle w:val="TableText"/>
              <w:jc w:val="right"/>
            </w:pPr>
            <w:r>
              <w:t>30</w:t>
            </w:r>
          </w:p>
        </w:tc>
        <w:tc>
          <w:tcPr>
            <w:tcW w:type="dxa" w:w="1247"/>
          </w:tcPr>
          <w:p>
            <w:pPr>
              <w:pStyle w:val="TableText"/>
              <w:jc w:val="right"/>
            </w:pPr>
            <w:r>
              <w:t>553</w:t>
            </w:r>
          </w:p>
        </w:tc>
      </w:tr>
      <w:tr>
        <w:trPr>
          <w:cantSplit/>
        </w:trPr>
        <w:tc>
          <w:tcPr>
            <w:tcW w:type="dxa" w:w="2381"/>
          </w:tcPr>
          <w:p>
            <w:pPr>
              <w:pStyle w:val="TableText"/>
              <w:jc w:val="left"/>
            </w:pPr>
            <w:r>
              <w:t>excluded</w:t>
            </w:r>
          </w:p>
        </w:tc>
        <w:tc>
          <w:tcPr>
            <w:tcW w:type="dxa" w:w="1304"/>
          </w:tcPr>
          <w:p>
            <w:pPr>
              <w:pStyle w:val="TableText"/>
              <w:jc w:val="right"/>
            </w:pPr>
            <w:r>
              <w:t>994</w:t>
            </w:r>
          </w:p>
        </w:tc>
        <w:tc>
          <w:tcPr>
            <w:tcW w:type="dxa" w:w="1417"/>
          </w:tcPr>
          <w:p>
            <w:pPr>
              <w:pStyle w:val="TableText"/>
              <w:jc w:val="right"/>
            </w:pPr>
            <w:r>
              <w:t>1,355</w:t>
            </w:r>
          </w:p>
        </w:tc>
        <w:tc>
          <w:tcPr>
            <w:tcW w:type="dxa" w:w="1304"/>
          </w:tcPr>
          <w:p>
            <w:pPr>
              <w:pStyle w:val="TableText"/>
              <w:jc w:val="right"/>
            </w:pPr>
            <w:r>
              <w:t>287</w:t>
            </w:r>
          </w:p>
        </w:tc>
        <w:tc>
          <w:tcPr>
            <w:tcW w:type="dxa" w:w="1417"/>
          </w:tcPr>
          <w:p>
            <w:pPr>
              <w:pStyle w:val="TableText"/>
              <w:jc w:val="right"/>
            </w:pPr>
            <w:r>
              <w:t>588</w:t>
            </w:r>
          </w:p>
        </w:tc>
        <w:tc>
          <w:tcPr>
            <w:tcW w:type="dxa" w:w="1247"/>
          </w:tcPr>
          <w:p>
            <w:pPr>
              <w:pStyle w:val="TableText"/>
              <w:jc w:val="right"/>
            </w:pPr>
            <w:r>
              <w:t>3,224</w:t>
            </w:r>
          </w:p>
        </w:tc>
      </w:tr>
    </w:tbl>
    <w:p>
      <w:pPr>
        <w:pStyle w:val="TableSource"/>
      </w:pPr>
      <w:r>
        <w:t xml:space="preserve">Source: </w:t>
      </w:r>
      <w:r>
        <w:rPr>
          <w:rFonts w:ascii="Courier New" w:hAnsi="Courier New" w:eastAsia="Courier New" w:cs="Courier New"/>
          <w:sz w:val="14"/>
        </w:rPr>
        <w:t>ml/labels/build_labels.py</w:t>
      </w:r>
      <w:r>
        <w:t>; SCIN release 1.0.0 [1].</w:t>
      </w:r>
    </w:p>
    <w:p>
      <w:pPr>
        <w:pStyle w:val="Heading2"/>
      </w:pPr>
      <w:r>
        <w:t>3.5 Questionnaire encoding and missingness mask</w:t>
      </w:r>
    </w:p>
    <w:p>
      <w:pPr>
        <w:jc w:val="both"/>
      </w:pPr>
      <w:r>
        <w:t>Self-reported SCIN answers [3] are encoded as a fixed-length numeric vector plus a binary missingness mask. The mask has one entry per questionnaire field: 1 means the question was not answered and 0 that it was. We do not impute (replace missing values with an estimate such as the mean); a missing field is set to 0 in the vector and the model reads the mask to know that this 0 is not an answer. This allows experiments that drop answers on purpose (modality dropout) and measures robustness to missing answers.</w:t>
      </w:r>
    </w:p>
    <w:p>
      <w:pPr>
        <w:jc w:val="both"/>
      </w:pPr>
      <w:r>
        <w:t xml:space="preserve">An explicit “unknown” or “none of the above” answer counts as present (mask 0) and has its own indicator column, distinct from a missing answer. Six fields are encoded: age group and self-reported skin type (one-hot: one column per option, exactly one equal to 1), body area, symptoms and texture (multi-hot: one column per option, several can be 1 because respondents may tick more than one) and duration (ordinal: an integer from 1, one day, to 8, since childhood, preserving order). This gives 40 feature columns and 6 mask columns per </w:t>
      </w:r>
      <w:r>
        <w:rPr>
          <w:rFonts w:ascii="Courier New" w:hAnsi="Courier New" w:eastAsia="Courier New" w:cs="Courier New"/>
          <w:sz w:val="19"/>
        </w:rPr>
        <w:t>case_id</w:t>
      </w:r>
      <w:r>
        <w:t>.</w:t>
      </w:r>
    </w:p>
    <w:p>
      <w:pPr>
        <w:jc w:val="both"/>
      </w:pPr>
      <w:r>
        <w:t>Multi-select questions are stored in SCIN as one column per option holding YES or blank. A blank cell means not ticked, so a question counts as unanswered only when no option is ticked; a respondent who skipped the question cannot be distinguished from one who ticked nothing (a limitation). Observed missing rates are 18.8% for body area, 25.1% for symptoms, 19.0% for texture, 19.8% for duration and 50.3% for skin type, with a further 328 cases answering “none of the above” for skin type. Sex at birth, race/ethnicity, systemic symptoms and the self-described category are excluded: the first two are reserved for fairness analysis and the last contains labels such as “acne” that would leak the target class.</w:t>
      </w:r>
    </w:p>
    <w:p>
      <w:pPr>
        <w:pStyle w:val="Heading2"/>
      </w:pPr>
      <w:r>
        <w:t>3.6 Case-level train/validation/test splits</w:t>
      </w:r>
    </w:p>
    <w:p>
      <w:pPr>
        <w:jc w:val="both"/>
      </w:pPr>
      <w:r>
        <w:t>We split the data into train (70%, where the model learns), validation (15%, for choosing settings) and test (15%, used only for final evaluation). The split is made at the case level (</w:t>
      </w:r>
      <w:r>
        <w:rPr>
          <w:rFonts w:ascii="Courier New" w:hAnsi="Courier New" w:eastAsia="Courier New" w:cs="Courier New"/>
          <w:sz w:val="19"/>
        </w:rPr>
        <w:t>case_id</w:t>
      </w:r>
      <w:r>
        <w:t>), not the image level: all photographs of a case stay in one split. Otherwise data leakage occurs: the model would see one photo of a case during training and be tested on another photo of the same case, inflating the results. The script (</w:t>
      </w:r>
      <w:r>
        <w:rPr>
          <w:rFonts w:ascii="Courier New" w:hAnsi="Courier New" w:eastAsia="Courier New" w:cs="Courier New"/>
          <w:sz w:val="19"/>
        </w:rPr>
        <w:t>ml/splits/make_splits.py</w:t>
      </w:r>
      <w:r>
        <w:t xml:space="preserve">) works on one row per </w:t>
      </w:r>
      <w:r>
        <w:rPr>
          <w:rFonts w:ascii="Courier New" w:hAnsi="Courier New" w:eastAsia="Courier New" w:cs="Courier New"/>
          <w:sz w:val="19"/>
        </w:rPr>
        <w:t>case_id</w:t>
      </w:r>
      <w:r>
        <w:t>, so a case cannot be divided between splits.</w:t>
      </w:r>
    </w:p>
    <w:p>
      <w:pPr>
        <w:jc w:val="both"/>
      </w:pPr>
      <w:r>
        <w:t>The split is stratified, meaning each split keeps roughly the same proportions of a combined variable: target category (</w:t>
      </w:r>
      <w:r>
        <w:rPr>
          <w:rFonts w:ascii="Courier New" w:hAnsi="Courier New" w:eastAsia="Courier New" w:cs="Courier New"/>
          <w:sz w:val="19"/>
        </w:rPr>
        <w:t>primary_label</w:t>
      </w:r>
      <w:r>
        <w:t>) times eFST group (I–II, III–IV, V–VI or missing), so darker skin tones do not end up in a single split by chance. It is done in two steps: 70% train versus 30% rest, then the rest is halved into validation and test. Combinations with fewer than 4 cases cannot be stratified; they are merged first by category and then into one shared group (5 cases in total). The procedure is repeated for five seeds (0–4), the numbers that fix the randomness, which gives five different reproducible splits for reporting the variability of results.</w:t>
      </w:r>
    </w:p>
    <w:p>
      <w:pPr>
        <w:jc w:val="both"/>
      </w:pPr>
      <w:r>
        <w:t>Beyond case identity, we checked whether the same photograph appears in more than one case: we computed the MD5 hash, a code that is identical only for identical files, of all 4,089 downloaded images, including all 3,886 images of the cases used (</w:t>
      </w:r>
      <w:r>
        <w:rPr>
          <w:rFonts w:ascii="Courier New" w:hAnsi="Courier New" w:eastAsia="Courier New" w:cs="Courier New"/>
          <w:sz w:val="19"/>
        </w:rPr>
        <w:t>ml/scripts/find_duplicate_images.py</w:t>
      </w:r>
      <w:r>
        <w:t>). This found 5 groups of 2-3 cases (12 cases in total) sharing the same photographs, most likely the same contributor submitting a case twice. In the first version of the split, four such photographs fell into different splits for seed 0, so a test image could have been seen in training. The cases of a group are therefore treated as one unit when splitting. In one group the same photographs received different categories (redness_rosacea, eczema_dermatitis and excluded), a concrete example of label noise, i.e. inconsistent labels for the same image.</w:t>
      </w:r>
    </w:p>
    <w:p>
      <w:pPr>
        <w:jc w:val="both"/>
      </w:pPr>
      <w:r>
        <w:t>Depending on the seed, the splits hold 3,522-3,525 train, 754-757 validation and 754-756 test cases. In eFST V–VI the cases split 303, 68 and 65 (seed 0). The redness_rosacea category has 44 cases in total (30, 8 and 6 for seed 0) and only one case in V–VI, in the validation split, so its per-tone performance cannot be evaluated. An automated test (</w:t>
      </w:r>
      <w:r>
        <w:rPr>
          <w:rFonts w:ascii="Courier New" w:hAnsi="Courier New" w:eastAsia="Courier New" w:cs="Courier New"/>
          <w:sz w:val="19"/>
        </w:rPr>
        <w:t>ml/tests/test_no_leakage.py</w:t>
      </w:r>
      <w:r>
        <w:t xml:space="preserve">) checks for every seed that no </w:t>
      </w:r>
      <w:r>
        <w:rPr>
          <w:rFonts w:ascii="Courier New" w:hAnsi="Courier New" w:eastAsia="Courier New" w:cs="Courier New"/>
          <w:sz w:val="19"/>
        </w:rPr>
        <w:t>case_id</w:t>
      </w:r>
      <w:r>
        <w:t xml:space="preserve"> appears in two splits, that there are no duplicates, that the splits cover every case and that no identical photograph is in two splits.</w:t>
      </w:r>
    </w:p>
    <w:p>
      <w:pPr>
        <w:pStyle w:val="Heading2"/>
      </w:pPr>
      <w:r>
        <w:t>3.7 Data loading and augmentation</w:t>
      </w:r>
    </w:p>
    <w:p>
      <w:pPr>
        <w:jc w:val="both"/>
      </w:pPr>
      <w:r>
        <w:t xml:space="preserve">Training data are served by a </w:t>
      </w:r>
      <w:r>
        <w:rPr>
          <w:rFonts w:ascii="Courier New" w:hAnsi="Courier New" w:eastAsia="Courier New" w:cs="Courier New"/>
          <w:sz w:val="19"/>
        </w:rPr>
        <w:t>SCINDataset</w:t>
      </w:r>
      <w:r>
        <w:t xml:space="preserve"> class (</w:t>
      </w:r>
      <w:r>
        <w:rPr>
          <w:rFonts w:ascii="Courier New" w:hAnsi="Courier New" w:eastAsia="Courier New" w:cs="Courier New"/>
          <w:sz w:val="19"/>
        </w:rPr>
        <w:t>ml/data_loading.py</w:t>
      </w:r>
      <w:r>
        <w:t xml:space="preserve">) that returns, for each </w:t>
      </w:r>
      <w:r>
        <w:rPr>
          <w:rFonts w:ascii="Courier New" w:hAnsi="Courier New" w:eastAsia="Courier New" w:cs="Courier New"/>
          <w:sz w:val="19"/>
        </w:rPr>
        <w:t>case_id</w:t>
      </w:r>
      <w:r>
        <w:t>, a set of tensors (numeric arrays used by PyTorch): the image, the questionnaire vector (</w:t>
      </w:r>
      <w:r>
        <w:rPr>
          <w:rFonts w:ascii="Courier New" w:hAnsi="Courier New" w:eastAsia="Courier New" w:cs="Courier New"/>
          <w:sz w:val="19"/>
        </w:rPr>
        <w:t>q_vec</w:t>
      </w:r>
      <w:r>
        <w:t>, 40 values), the missingness mask (</w:t>
      </w:r>
      <w:r>
        <w:rPr>
          <w:rFonts w:ascii="Courier New" w:hAnsi="Courier New" w:eastAsia="Courier New" w:cs="Courier New"/>
          <w:sz w:val="19"/>
        </w:rPr>
        <w:t>q_mask</w:t>
      </w:r>
      <w:r>
        <w:t>, 6 values, one per field), the target category as an integer (</w:t>
      </w:r>
      <w:r>
        <w:rPr>
          <w:rFonts w:ascii="Courier New" w:hAnsi="Courier New" w:eastAsia="Courier New" w:cs="Courier New"/>
          <w:sz w:val="19"/>
        </w:rPr>
        <w:t>label</w:t>
      </w:r>
      <w:r>
        <w:t>), the eFST skin type (</w:t>
      </w:r>
      <w:r>
        <w:rPr>
          <w:rFonts w:ascii="Courier New" w:hAnsi="Courier New" w:eastAsia="Courier New" w:cs="Courier New"/>
          <w:sz w:val="19"/>
        </w:rPr>
        <w:t>eFST</w:t>
      </w:r>
      <w:r>
        <w:t xml:space="preserve">, −1 when missing) and the case identifier. The DataLoader groups cases into batches of 32, i.e. groups of examples the model processes together in one training step. The five categories of Section 3.4 are reduced to four training classes: the </w:t>
      </w:r>
      <w:r>
        <w:rPr>
          <w:rFonts w:ascii="Courier New" w:hAnsi="Courier New" w:eastAsia="Courier New" w:cs="Courier New"/>
          <w:sz w:val="19"/>
        </w:rPr>
        <w:t>excluded</w:t>
      </w:r>
      <w:r>
        <w:t xml:space="preserve"> group (ambiguous, below-threshold or unlabelled cases) is not a target category of the assistant and is left out. This leaves 1,809 cases, split for seed 0 into 1,266 train, 273 validation and 270 test cases.</w:t>
      </w:r>
    </w:p>
    <w:p>
      <w:pPr>
        <w:jc w:val="both"/>
      </w:pPr>
      <w:r>
        <w:t>A case can have up to three photographs. During training, one image per case is drawn at random in every epoch (one full pass over the training set) to increase image variety. For validation and test the primary image (</w:t>
      </w:r>
      <w:r>
        <w:rPr>
          <w:rFonts w:ascii="Courier New" w:hAnsi="Courier New" w:eastAsia="Courier New" w:cs="Courier New"/>
          <w:sz w:val="19"/>
        </w:rPr>
        <w:t>image_1_path</w:t>
      </w:r>
      <w:r>
        <w:t xml:space="preserve">) is always used, so evaluation is exactly reproducible. The random draw is derived from the seed, the epoch and the case index, so it does not depend on the number of loader processes. If a file is missing or corrupted, another image of the same case is tried; if none can be read, a black image flagged </w:t>
      </w:r>
      <w:r>
        <w:rPr>
          <w:rFonts w:ascii="Courier New" w:hAnsi="Courier New" w:eastAsia="Courier New" w:cs="Courier New"/>
          <w:sz w:val="19"/>
        </w:rPr>
        <w:t>image_ok = 0</w:t>
      </w:r>
      <w:r>
        <w:t xml:space="preserve"> is returned and training continues.</w:t>
      </w:r>
    </w:p>
    <w:p>
      <w:pPr>
        <w:jc w:val="both"/>
      </w:pPr>
      <w:r>
        <w:t xml:space="preserve">Augmentation means randomly modifying training images so the model does not memorise examples and copes with photographs taken under different conditions. It is applied to the training split only: horizontal flip (probability 0.5), shift, scale and rotation (shift up to 6%, scale 0.9 to 1.1, rotation up to 15°) and colour jitter (brightness, contrast and saturation ±0.2, hue ±0.02). Hue jitter is deliberately tiny because skin colour is the variable fairness is measured on and must not be distorted. All splits are brought to 224×224 pixels while keeping the aspect ratio: the longer side is scaled to 224 pixels and the remaining space is padded with black (letterbox). Most SCIN photographs are portrait 3:4, and stretching them to a square would distort lesions. Images are then normalised with the ImageNet mean (0.485, 0.456, 0.406) and standard deviation (0.229, 0.224, 0.225), the statistics the pretrained networks were trained with; validation and test receive no augmentation beyond these steps. Parameters are kept in </w:t>
      </w:r>
      <w:r>
        <w:rPr>
          <w:rFonts w:ascii="Courier New" w:hAnsi="Courier New" w:eastAsia="Courier New" w:cs="Courier New"/>
          <w:sz w:val="19"/>
        </w:rPr>
        <w:t>ml/configs/base.yaml</w:t>
      </w:r>
      <w:r>
        <w:t xml:space="preserve">, and </w:t>
      </w:r>
      <w:r>
        <w:rPr>
          <w:rFonts w:ascii="Courier New" w:hAnsi="Courier New" w:eastAsia="Courier New" w:cs="Courier New"/>
          <w:sz w:val="19"/>
        </w:rPr>
        <w:t>seed_everything</w:t>
      </w:r>
      <w:r>
        <w:t xml:space="preserve"> (</w:t>
      </w:r>
      <w:r>
        <w:rPr>
          <w:rFonts w:ascii="Courier New" w:hAnsi="Courier New" w:eastAsia="Courier New" w:cs="Courier New"/>
          <w:sz w:val="19"/>
        </w:rPr>
        <w:t>ml/utils/seed.py</w:t>
      </w:r>
      <w:r>
        <w:t>) fixes the random generators of Python, NumPy and PyTorch for reproducibility.</w:t>
      </w:r>
    </w:p>
    <w:p>
      <w:pPr>
        <w:pStyle w:val="Heading2"/>
      </w:pPr>
      <w:r>
        <w:t>3.8 Model and training</w:t>
      </w:r>
    </w:p>
    <w:p>
      <w:pPr>
        <w:jc w:val="both"/>
      </w:pPr>
      <w:r>
        <w:t>The model combines two branches by late fusion: the branches are processed separately and their information is joined only before the final decision (</w:t>
      </w:r>
      <w:r>
        <w:rPr>
          <w:rFonts w:ascii="Courier New" w:hAnsi="Courier New" w:eastAsia="Courier New" w:cs="Courier New"/>
          <w:sz w:val="19"/>
        </w:rPr>
        <w:t>ml/models/fusion_model.py</w:t>
      </w:r>
      <w:r>
        <w:t xml:space="preserve">, class </w:t>
      </w:r>
      <w:r>
        <w:rPr>
          <w:rFonts w:ascii="Courier New" w:hAnsi="Courier New" w:eastAsia="Courier New" w:cs="Courier New"/>
          <w:sz w:val="19"/>
        </w:rPr>
        <w:t>LateFusionNet</w:t>
      </w:r>
      <w:r>
        <w:t>). The image branch is the same network as in the photo-only model, EfficientNet-B0 [6] or MobileNetV3-Large, from the timm library [7] with weights pretrained on ImageNet (transfer learning: the network starts from what it already learned on a large image set and is retrained on SCIN), without its classification layer; its output is the feature vector obtained by averaging the activation maps (1,280 values). The questionnaire branch is a network with two layers of 64 units that receives the 40-feature vector together with the 6-value mask (46 numbers). When the questionnaire is missing entirely, the model receives zero features and an all-ones mask, the same representation as in training, so an absent questionnaire is not confused with one answered with zeros. In the basic variant (concat), the two outputs are concatenated and passed to a final layer that scores each of the four categories.</w:t>
      </w:r>
    </w:p>
    <w:p>
      <w:pPr>
        <w:jc w:val="both"/>
      </w:pPr>
      <w:r>
        <w:t>For robustness to missing answers we use modality dropout: during training, the whole questionnaire is hidden for a sample with probability 0.3, and each field is hidden independently with probability 0.15. A hidden field gets features 0 and mask 1, exactly like a real missing answer, so the model learns to work without the questionnaire. Because the categories are imbalanced, the loss (the error measure that training minimises) is cross-entropy weighted inversely to class frequency. The fusion model is trained with exactly the same three stages as the photo-only model (described below), with the AdamW optimiser [8], cosine learning-rate decay [9] and mixed precision on GPU, so the questionnaire is the only difference between the two models. The questionnaire branch and the fusion layers are new, so they train in every stage at the classification-layer rate. The checkpoint with the best validation macro-F1 is kept.</w:t>
      </w:r>
    </w:p>
    <w:p>
      <w:pPr>
        <w:jc w:val="both"/>
      </w:pPr>
      <w:r>
        <w:t>Training is run by a reusable engine (ml/engine.py) that does not depend on the model architecture: the same training and evaluation functions serve both the photo-only and the fusion model. The loss can be class-weighted cross-entropy or focal loss [10], which down-weights easy, confident examples so training concentrates on hard and rare ones; the two are compared as an ablation. Training uses automatic mixed precision (AMP), i.e. reduced-precision arithmetic on the GPU for speed. Early stopping and checkpointing use validation macro-F1, not plain accuracy, which would be misleading with imbalanced classes; training stops early if macro-F1 does not improve for 5 consecutive epochs. For every epoch the training loss, validation loss, macro-F1 and epoch time are logged (log.csv).</w:t>
      </w:r>
    </w:p>
    <w:p>
      <w:pPr>
        <w:jc w:val="both"/>
      </w:pPr>
      <w:r>
        <w:t>The photo-only baseline (</w:t>
      </w:r>
      <w:r>
        <w:rPr>
          <w:rFonts w:ascii="Courier New" w:hAnsi="Courier New" w:eastAsia="Courier New" w:cs="Courier New"/>
          <w:sz w:val="19"/>
        </w:rPr>
        <w:t>ml/models/image_model.py</w:t>
      </w:r>
      <w:r>
        <w:t>) is evaluated with two pretrained networks: EfficientNet-B0 [6] and MobileNetV3-Large [12], a smaller network designed for mobile phones and therefore relevant to a mobile app. The ImageNet classification layer (1,000 classes) is replaced by a new four-output layer initialised with small weights, so the model starts with near-equal probabilities for the four categories; the library's default initialisation started from very large scores and a loss of about 4.5 instead of about 1.4.</w:t>
      </w:r>
    </w:p>
    <w:p>
      <w:pPr>
        <w:jc w:val="both"/>
      </w:pPr>
      <w:r>
        <w:t>The network is fine-tuned in three stages to avoid catastrophic forgetting, i.e. losing useful ImageNet features when all layers are changed abruptly by the large gradients of a still untrained classification layer. Stage 1 trains only the classification layer (learning rate 1e-3) with the rest of the network frozen (its parameters do not change). Stage 2 also unfreezes the last two blocks and the final convolutional layer, at a learning rate ten times lower than the classifier's (3e-4 for the classifier, 3e-5 for the network). The optional stage 3 trains all parameters at an even lower rate (1e-4 and 1e-5). Each stage starts from the best checkpoint so far and has its own early-stopping patience. Frozen batch-normalisation layers stay in evaluation mode, so their ImageNet statistics are not overwritten. For a fair comparison with the questionnaire model, the same staged procedure must also be applied to the fusion model.</w:t>
      </w:r>
    </w:p>
    <w:p>
      <w:pPr>
        <w:jc w:val="both"/>
      </w:pPr>
      <w:r>
        <w:t xml:space="preserve">The photo-only baseline is the first arm of experiment E1 and is run by </w:t>
      </w:r>
      <w:r>
        <w:rPr>
          <w:rFonts w:ascii="Courier New" w:hAnsi="Courier New" w:eastAsia="Courier New" w:cs="Courier New"/>
          <w:sz w:val="19"/>
        </w:rPr>
        <w:t>ml/run_image_only.py</w:t>
      </w:r>
      <w:r>
        <w:t xml:space="preserve"> on all five split variants (seeds 0-4). A seed is the number that initialises the random number generator; each seed has its own case-level split, sample order and augmentation, so repeating the run over five seeds shows how much the result varies by chance alone. For every seed the model is trained in the three stages, the checkpoint (the saved network weights) with the best validation macro-F1 is kept, and it is tested once. Test predictions are scored by </w:t>
      </w:r>
      <w:r>
        <w:rPr>
          <w:rFonts w:ascii="Courier New" w:hAnsi="Courier New" w:eastAsia="Courier New" w:cs="Courier New"/>
          <w:sz w:val="19"/>
        </w:rPr>
        <w:t>ml/evaluate.py</w:t>
      </w:r>
      <w:r>
        <w:t xml:space="preserve">, and the five seeds are reported as mean ± standard deviation (the standard deviation measures how far the five values spread around their mean) in </w:t>
      </w:r>
      <w:r>
        <w:rPr>
          <w:rFonts w:ascii="Courier New" w:hAnsi="Courier New" w:eastAsia="Courier New" w:cs="Courier New"/>
          <w:sz w:val="19"/>
        </w:rPr>
        <w:t>e1_image_only_test.csv</w:t>
      </w:r>
      <w:r>
        <w:t>.</w:t>
      </w:r>
    </w:p>
    <w:p>
      <w:pPr>
        <w:jc w:val="both"/>
      </w:pPr>
      <w:r>
        <w:t>Class imbalance means that some categories have many more examples than others: the seed-0 training set has 748 eczema_dermatitis, 387 normal_other, 101 acne and only 30 redness_rosacea cases. Without a correction the network would mainly learn the majority class. Two common corrections [16] are compared in an ablation study, i.e. an experiment that changes one component and keeps everything else identical, to isolate that component's effect. (a) Class-weighted loss: cross-entropy gives each class a weight inversely proportional to its frequency (the total number of cases divided by the number of classes times the class's case count; for seed 0, e.g., 10.6 for redness_rosacea and 0.42 for eczema_dermatitis), and the cases are visited in random order, each once per epoch. (b) Weighted sampling (WeightedRandomSampler [17]): the loss is unweighted, but cases are drawn with replacement (the same case can be drawn several times in one epoch) with probability inversely proportional to the case count of their class, so each class makes up about a quarter of the draws. The two corrections are never combined, as that would correct the imbalance twice.</w:t>
      </w:r>
    </w:p>
    <w:p>
      <w:pPr>
        <w:jc w:val="both"/>
      </w:pPr>
      <w:r>
        <w:t>With weighted sampling a rare case is drawn about ten times per epoch (redness_rosacea: 30 cases for about 316 draws). Because the image and augmentation of a case depend on the seed, the epoch and the case, all copies would have been identical; the script numbers repeated draws and each repeat gets its own image of the case (if it has several) and its own augmentation. The first draw is identical to the one in variant (a), so the correction method is the only difference between the two arms. The known risk of oversampling is overfitting to the few rare cases, i.e. memorising them instead of learning general features; validation on macro-F1 and early stopping limit this risk. The ablation is run for both networks (EfficientNet-B0 and MobileNetV3-Large), and the variant with the best mean validation macro-F1 becomes the photo-only reference in E1.</w:t>
      </w:r>
    </w:p>
    <w:p>
      <w:pPr>
        <w:jc w:val="both"/>
      </w:pPr>
      <w:r>
        <w:t>The second arm of experiment E1 is the questionnaire-only model (</w:t>
      </w:r>
      <w:r>
        <w:rPr>
          <w:rFonts w:ascii="Courier New" w:hAnsi="Courier New" w:eastAsia="Courier New" w:cs="Courier New"/>
          <w:sz w:val="19"/>
        </w:rPr>
        <w:t>ml/models/q_model.py</w:t>
      </w:r>
      <w:r>
        <w:t xml:space="preserve">, run by </w:t>
      </w:r>
      <w:r>
        <w:rPr>
          <w:rFonts w:ascii="Courier New" w:hAnsi="Courier New" w:eastAsia="Courier New" w:cs="Courier New"/>
          <w:sz w:val="19"/>
        </w:rPr>
        <w:t>ml/run_q_only.py</w:t>
      </w:r>
      <w:r>
        <w:t>), which shows how much signal the questionnaire carries on its own, without the photo. It is a multilayer perceptron (MLP) [24]: a network of successive linear layers, each followed by a ReLU activation (which keeps positive values and replaces negative ones with 0) and dropout 0.2 (during training, 20% of the neurons are ignored at random so the network does not memorise the examples). The input is the vector of encoded answers (40 values) next to the missingness mask (6 values, one per question), so the network can tell an answer 'no' from a question that was not answered; it is followed by two hidden layers of 64 neurons and an output layer with four values. The model uses exactly the same cases, splits, seeds, class-weighted loss, early stopping on validation macro-F1 and evaluation protocol as the photo model. The test set is also scored with a share r of the answers hidden (r = 0, 0.25, 0.5, 0.75, 1), and the hidden answers are exactly the same as in the fusion model's evaluation, so the curves can be compared directly.</w:t>
      </w:r>
    </w:p>
    <w:p>
      <w:pPr>
        <w:jc w:val="both"/>
      </w:pPr>
      <w:r>
        <w:t>Besides concatenation, two stronger fusion variants are implemented, which let the questionnaire influence how the image is used. (1) Gated fusion (gated multimodal unit) [25]: both branches are projected to the same size (256), and a gate, a vector of values between 0 and 1 computed from both branches, decides for every dimension how much comes from the image and how much from the questionnaire. When the mask shows that answers are missing, the gate can learn to rely on the photo; the mean gate value can be inspected for each case. (2) FiLM-style conditioning (Feature-wise Linear Modulation) [26]: the questionnaire produces two vectors, γ and β, that scale and shift every image feature (f' = f·(1 + γ) + β). γ and β start at 0, so at the start of training the model behaves exactly like the photo-only model. The variant is chosen in the configuration (</w:t>
      </w:r>
      <w:r>
        <w:rPr>
          <w:rFonts w:ascii="Courier New" w:hAnsi="Courier New" w:eastAsia="Courier New" w:cs="Courier New"/>
          <w:sz w:val="19"/>
        </w:rPr>
        <w:t>fusion.variant</w:t>
      </w:r>
      <w:r>
        <w:t xml:space="preserve">), and the trained models are saved as </w:t>
      </w:r>
      <w:r>
        <w:rPr>
          <w:rFonts w:ascii="Courier New" w:hAnsi="Courier New" w:eastAsia="Courier New" w:cs="Courier New"/>
          <w:sz w:val="19"/>
        </w:rPr>
        <w:t>fusion_late_&lt;variant&gt;_seed&lt;k&gt;.pt</w:t>
      </w:r>
      <w:r>
        <w:t xml:space="preserve"> by </w:t>
      </w:r>
      <w:r>
        <w:rPr>
          <w:rFonts w:ascii="Courier New" w:hAnsi="Courier New" w:eastAsia="Courier New" w:cs="Courier New"/>
          <w:sz w:val="19"/>
        </w:rPr>
        <w:t>ml/run_fusion.py</w:t>
      </w:r>
      <w:r>
        <w:t>.</w:t>
      </w:r>
    </w:p>
    <w:p>
      <w:pPr>
        <w:jc w:val="both"/>
      </w:pPr>
      <w:r>
        <w:t>Besides the fixed regime above, a second regime for hiding answers during training was implemented, called here answer dropout with a sampled rate (</w:t>
      </w:r>
      <w:r>
        <w:rPr>
          <w:rFonts w:ascii="Courier New" w:hAnsi="Courier New" w:eastAsia="Courier New" w:cs="Courier New"/>
          <w:sz w:val="19"/>
        </w:rPr>
        <w:t>ml/dropout_utils.py</w:t>
      </w:r>
      <w:r>
        <w:t xml:space="preserve">, function </w:t>
      </w:r>
      <w:r>
        <w:rPr>
          <w:rFonts w:ascii="Courier New" w:hAnsi="Courier New" w:eastAsia="Courier New" w:cs="Courier New"/>
          <w:sz w:val="19"/>
        </w:rPr>
        <w:t>apply_answer_dropout</w:t>
      </w:r>
      <w:r>
        <w:t xml:space="preserve">, option </w:t>
      </w:r>
      <w:r>
        <w:rPr>
          <w:rFonts w:ascii="Courier New" w:hAnsi="Courier New" w:eastAsia="Courier New" w:cs="Courier New"/>
          <w:sz w:val="19"/>
        </w:rPr>
        <w:t>--q_dropout random</w:t>
      </w:r>
      <w:r>
        <w:t xml:space="preserve"> in </w:t>
      </w:r>
      <w:r>
        <w:rPr>
          <w:rFonts w:ascii="Courier New" w:hAnsi="Courier New" w:eastAsia="Courier New" w:cs="Courier New"/>
          <w:sz w:val="19"/>
        </w:rPr>
        <w:t>ml/train.py</w:t>
      </w:r>
      <w:r>
        <w:t xml:space="preserve"> and </w:t>
      </w:r>
      <w:r>
        <w:rPr>
          <w:rFonts w:ascii="Courier New" w:hAnsi="Courier New" w:eastAsia="Courier New" w:cs="Courier New"/>
          <w:sz w:val="19"/>
        </w:rPr>
        <w:t>ml/run_fusion.py</w:t>
      </w:r>
      <w:r>
        <w:t xml:space="preserve">). Dropout in general means randomly removing units of a network during training so that it does not depend on any single one [34]; modality dropout applies the same idea to a whole input source (here, the questionnaire) [35]. In the new regime, for every batch (the group of 32 cases processed in one training step) a rate p is drawn from a uniform distribution between 0 and 1 (every value in the interval is equally likely), and each question of each case is hidden with probability p; independently, the whole questionnaire of a case is hidden with probability 0.1. Hidden fields get features 0 and mask bit 1, exactly like a real missing answer, so the model cannot tell a hidden question from one the user skipped. Unlike the fixed regime (30% whole questionnaire, 15% per question), sampling the rate per batch exposes the model to every level of completeness, from full to empty questionnaires. Weights are saved as </w:t>
      </w:r>
      <w:r>
        <w:rPr>
          <w:rFonts w:ascii="Courier New" w:hAnsi="Courier New" w:eastAsia="Courier New" w:cs="Courier New"/>
          <w:sz w:val="19"/>
        </w:rPr>
        <w:t>fusion_dropout_&lt;variant&gt;_seed&lt;k&gt;.pt</w:t>
      </w:r>
      <w:r>
        <w:t>. Experiment E2 compares three regimes: no hiding (none), the fixed regime (fixed) and the sampled rate (random).</w:t>
      </w:r>
    </w:p>
    <w:p>
      <w:pPr>
        <w:pStyle w:val="Heading2"/>
      </w:pPr>
      <w:r>
        <w:t>3.9 Evaluation protocol</w:t>
      </w:r>
    </w:p>
    <w:p>
      <w:pPr>
        <w:jc w:val="both"/>
      </w:pPr>
      <w:r>
        <w:t>Evaluation is done once on the test split with the weights chosen on validation. Metrics are macro-F1 (the mean of the per-class F1 scores, which treats small and large classes equally) and balanced accuracy (the mean per-class recall), reported overall and separately for each eFST group (I-II, III-IV, V-VI, missing), together with the maximum gap between the tone groups (I-II, III-IV, V-VI; 'missing' is not a tone). Within a group, macro-F1 is averaged over the categories present in it (e.g. redness_rosacea has no V-VI test case). Every value is reported with a 95% bootstrap confidence interval [11], obtained by resampling the test cases with replacement 1,000 times; the intervals show how certain the results are for small groups. For the missing-answer question, the model is tested with 0%, 25%, 50%, 75% and 100% of the questionnaire fields hidden (each field independently, on top of the answers already missing in the data; at 100% the whole questionnaire is hidden) and compared with the photo-only model. Each configuration is run for the five seeds (0-4) and results are reported as mean and range. The script is ml/train.py.</w:t>
      </w:r>
    </w:p>
    <w:p>
      <w:pPr>
        <w:jc w:val="both"/>
      </w:pPr>
      <w:r>
        <w:t xml:space="preserve">Evaluation is performed by </w:t>
      </w:r>
      <w:r>
        <w:rPr>
          <w:rFonts w:ascii="Courier New" w:hAnsi="Courier New" w:eastAsia="Courier New" w:cs="Courier New"/>
          <w:sz w:val="19"/>
        </w:rPr>
        <w:t>ml/evaluate.py</w:t>
      </w:r>
      <w:r>
        <w:t>, which reads a standard predictions file (</w:t>
      </w:r>
      <w:r>
        <w:rPr>
          <w:rFonts w:ascii="Courier New" w:hAnsi="Courier New" w:eastAsia="Courier New" w:cs="Courier New"/>
          <w:sz w:val="19"/>
        </w:rPr>
        <w:t>predictions.csv</w:t>
      </w:r>
      <w:r>
        <w:t>, one row per case with the true category, the predicted category, the confidence, eFST, eMST, the seed and the share of hidden answers). Besides macro-F1 and balanced accuracy, it reports precision, recall and F1 for every category. Precision is the share of cases assigned to a category that truly belong to it; recall is the share of a category's cases that were found.</w:t>
      </w:r>
    </w:p>
    <w:p>
      <w:pPr>
        <w:jc w:val="both"/>
      </w:pPr>
      <w:r>
        <w:t>Calibration shows whether the model's confidence matches reality: a well-calibrated model that states 80% confidence is right in about 80% of cases. Confidence is the highest probability the model gives to any category. It is measured by the Expected Calibration Error (ECE) [13]: predictions are split into 15 equal-width confidence bins, and ECE is the size-weighted mean difference between mean confidence and accuracy in each bin. For an informational app the risk-coverage curve [14] also matters: if the app answers only above a confidence threshold and otherwise recommends seeing a professional, the curve gives the accuracy for each share of cases it answers (coverage). The area under the risk curve (AURC) summarises it in one number; lower is better.</w:t>
      </w:r>
    </w:p>
    <w:p>
      <w:pPr>
        <w:jc w:val="both"/>
      </w:pPr>
      <w:r>
        <w:t>Fairness is reported on both tone scales, eFST (I-II, III-IV, V-VI) and eMST (1-3, 4-6, 7-10). For each scale we identify the worst group [15], the tone group with the lowest macro-F1, and its gap to the best group. Only groups with at least 20 cases are eligible, because estimates on smaller groups are too uncertain; excluded groups are listed explicitly. Bootstrap confidence intervals [11] resample cases (</w:t>
      </w:r>
      <w:r>
        <w:rPr>
          <w:rFonts w:ascii="Courier New" w:hAnsi="Courier New" w:eastAsia="Courier New" w:cs="Courier New"/>
          <w:sz w:val="19"/>
        </w:rPr>
        <w:t>case_id</w:t>
      </w:r>
      <w:r>
        <w:t>), not rows: all rows of a case stay together, so observations of the same case are not treated as independent. Results over the five seeds are summarised by mean, standard deviation, minimum and maximum.</w:t>
      </w:r>
    </w:p>
    <w:p>
      <w:pPr>
        <w:jc w:val="both"/>
      </w:pPr>
      <w:r>
        <w:t>The ECE confidence interval needs a correction. When cases are resampled with replacement, each confidence bin holds fewer distinct cases, the gap between accuracy and confidence becomes noisier and, being an absolute value, cannot be negative; the ECE of bootstrap samples is therefore larger on average than the ECE of the test set (a bias) [28]. The usual percentile interval is thus shifted upward and, after averaging over five seeds, may not even contain the estimate. For ECE we therefore use the percentile interval shifted by the bootstrap bias (mean of the samples minus the estimate); the other metrics keep the percentile interval.</w:t>
      </w:r>
    </w:p>
    <w:p>
      <w:pPr>
        <w:pStyle w:val="Heading2"/>
      </w:pPr>
      <w:r>
        <w:t>3.10 External test sets and linear probe</w:t>
      </w:r>
    </w:p>
    <w:p>
      <w:pPr>
        <w:jc w:val="both"/>
      </w:pPr>
      <w:r>
        <w:t>To check whether the SCIN-trained photo-only model also works on photos from other sources, it is tested without any retraining (external, zero-shot evaluation) on two public sets: DDI (Diverse Dermatology Images) [18], 656 clinical images confirmed by biopsy (microscopic examination of a tissue sample), grouped into Fitzpatrick I-II, III-IV and V-VI, and Fitzpatrick17k [19], 16,577 images from online dermatology atlases with 114 diagnoses and Fitzpatrick type 1-6. Neither has a questionnaire, so only the photo model is tested. The difference between the training and test sources (other cameras, framing and diseases) is called domain shift; the drop in performance on these sets shows how much the model depends on the particulars of SCIN.</w:t>
      </w:r>
    </w:p>
    <w:p>
      <w:pPr>
        <w:jc w:val="both"/>
      </w:pPr>
      <w:r>
        <w:t xml:space="preserve">External diagnoses are mapped to the four target categories with the same </w:t>
      </w:r>
      <w:r>
        <w:rPr>
          <w:rFonts w:ascii="Courier New" w:hAnsi="Courier New" w:eastAsia="Courier New" w:cs="Courier New"/>
          <w:sz w:val="19"/>
        </w:rPr>
        <w:t>label_map.yaml</w:t>
      </w:r>
      <w:r>
        <w:t xml:space="preserve">, after normalisation (lower case, hyphen read as a space), plus a short per-dataset list of synonyms (e.g. 'acne vulgaris' -&gt; acne, 'rhinophyma' -&gt; redness_rosacea). Every row gets a status written to a report: kept, non-target category (e.g. cancers, which are </w:t>
      </w:r>
      <w:r>
        <w:rPr>
          <w:rFonts w:ascii="Courier New" w:hAnsi="Courier New" w:eastAsia="Courier New" w:cs="Courier New"/>
          <w:sz w:val="19"/>
        </w:rPr>
        <w:t>excluded</w:t>
      </w:r>
      <w:r>
        <w:t>), unmapped (unknown diagnosis, never guessed), wrong label according to the Fitzpatrick17k quality check, or missing image; only kept rows are evaluated. In Fitzpatrick17k, 4,012 images match the target categories (normal_other 1,892, eczema_dermatitis 1,009, acne 857, redness_rosacea 254), but here normal_other is dominated by psoriasis, so the category's composition differs from SCIN. A practical limitation: most Fitzpatrick17k image URLs (the DermaAmin atlas) no longer work, and the full set is obtained from the authors through a request form. Images are not redistributed (CC BY-NC-SA 3.0 for Fitzpatrick17k; Stanford AIMI terms for DDI). DDI tones 12 / 34 / 56 are treated as eFST groups I-II / III-IV / V-VI, and the predictions of all five models (one per seed) are evaluated with the same protocol as on SCIN.</w:t>
      </w:r>
    </w:p>
    <w:p>
      <w:pPr>
        <w:jc w:val="both"/>
      </w:pPr>
      <w:r>
        <w:t xml:space="preserve">As the baseline for experiment E5 we use a linear probe [20]. A foundation model is a large network pretrained on very many images whose representations can be reused for many tasks; in dermatology, examples are PanDerm [22] and DermLIP [23]. The network stays frozen (its weights do not change): for every SCIN case its feature vector, the list of numbers by which the network describes the image, is computed once, and only a linear layer is trained on top, which is equivalent to multinomial logistic regression. Features are standardised (subtracting the mean and dividing by the standard deviation, both computed on the training set only), the loss is class-weighted cross-entropy, and an L2 penalty (the sum of squared weights times a constant) keeps the weights from growing too large; the constant is chosen on validation from 0 to 100. Linear-probe evaluation is the standard way to compare representations [21]: if a simple probe on a foundation model matches the fully fine-tuned network, the advantage comes from the representation, not the training. </w:t>
      </w:r>
      <w:r>
        <w:rPr>
          <w:rFonts w:ascii="Courier New" w:hAnsi="Courier New" w:eastAsia="Courier New" w:cs="Courier New"/>
          <w:sz w:val="19"/>
        </w:rPr>
        <w:t>ml/foundation_probe.py</w:t>
      </w:r>
      <w:r>
        <w:t xml:space="preserve"> accepts any timm, OpenCLIP or Hugging Face model, so PanDerm and DermLIP weights can be used without code changes.</w:t>
      </w:r>
    </w:p>
    <w:p>
      <w:pPr>
        <w:jc w:val="both"/>
      </w:pPr>
      <w:r>
        <w:t>The Fitzpatrick17k images were obtained from the authors under an agreement to delete them once the research is complete. They are therefore used for testing only, never for training, are not redistributed and do not appear in the app, the code repository or this paper; only aggregate results are reported. The model shipped in the app is trained on SCIN, whose licence permits reproduction and adaptation with attribution.</w:t>
      </w:r>
    </w:p>
    <w:p>
      <w:pPr>
        <w:pStyle w:val="Heading1"/>
      </w:pPr>
      <w:r>
        <w:t>4. Results</w:t>
      </w:r>
    </w:p>
    <w:p>
      <w:pPr>
        <w:jc w:val="both"/>
      </w:pPr>
      <w:r>
        <w:rPr>
          <w:highlight w:val="yellow"/>
        </w:rPr>
        <w:t>[To be written once experiments are complete.]</w:t>
      </w:r>
    </w:p>
    <w:p>
      <w:pPr>
        <w:pStyle w:val="Heading2"/>
      </w:pPr>
      <w:r>
        <w:t>4.1 Questionnaire-only baseline (E1, arm 2)</w:t>
      </w:r>
    </w:p>
    <w:p>
      <w:pPr>
        <w:jc w:val="both"/>
      </w:pPr>
      <w:r>
        <w:t>Over the five seeds, the questionnaire-only model reaches a test macro-F1 of 0.390 ± 0.038 (mean ± standard deviation), balanced accuracy 0.443 ± 0.043 and ECE 0.083 ± 0.020 (Table 1). Training takes 6-11 seconds per seed, and early stopping selects epochs between 16 and 51. Per category, F1 is 0.569 for eczema_dermatitis, 0.429 for normal_other, 0.343 for redness_rosacea and 0.218 for acne. The redness_rosacea test set has only 6 cases on average, so that value is very uncertain (standard deviation 0.112). The questionnaire thus carries clear signal above chance, but not enough to separate acne, which looks like the other concerns from the answers alone.</w:t>
      </w:r>
    </w:p>
    <w:p>
      <w:pPr>
        <w:jc w:val="both"/>
      </w:pPr>
      <w:r>
        <w:t>Table 1. Questionnaire-only model on the test set (5 seeds, mean ± standard deviation) by share of hidden answers.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 answers hidden</w:t>
            </w:r>
          </w:p>
        </w:tc>
        <w:tc>
          <w:tcPr>
            <w:tcW w:type="dxa" w:w="3024"/>
          </w:tcPr>
          <w:p>
            <w:r>
              <w:rPr>
                <w:b/>
              </w:rPr>
              <w:t>Macro-F1</w:t>
            </w:r>
          </w:p>
        </w:tc>
        <w:tc>
          <w:tcPr>
            <w:tcW w:type="dxa" w:w="3024"/>
          </w:tcPr>
          <w:p>
            <w:r>
              <w:rPr>
                <w:b/>
              </w:rPr>
              <w:t>Balanced accuracy</w:t>
            </w:r>
          </w:p>
        </w:tc>
      </w:tr>
      <w:tr>
        <w:tc>
          <w:tcPr>
            <w:tcW w:type="dxa" w:w="3024"/>
          </w:tcPr>
          <w:p>
            <w:r>
              <w:t>0 (natural)</w:t>
            </w:r>
          </w:p>
        </w:tc>
        <w:tc>
          <w:tcPr>
            <w:tcW w:type="dxa" w:w="3024"/>
          </w:tcPr>
          <w:p>
            <w:r>
              <w:t>0.390 ± 0.038</w:t>
            </w:r>
          </w:p>
        </w:tc>
        <w:tc>
          <w:tcPr>
            <w:tcW w:type="dxa" w:w="3024"/>
          </w:tcPr>
          <w:p>
            <w:r>
              <w:t>0.443 ± 0.043</w:t>
            </w:r>
          </w:p>
        </w:tc>
      </w:tr>
      <w:tr>
        <w:tc>
          <w:tcPr>
            <w:tcW w:type="dxa" w:w="3024"/>
          </w:tcPr>
          <w:p>
            <w:r>
              <w:t>25</w:t>
            </w:r>
          </w:p>
        </w:tc>
        <w:tc>
          <w:tcPr>
            <w:tcW w:type="dxa" w:w="3024"/>
          </w:tcPr>
          <w:p>
            <w:r>
              <w:t>0.325 ± 0.038</w:t>
            </w:r>
          </w:p>
        </w:tc>
        <w:tc>
          <w:tcPr>
            <w:tcW w:type="dxa" w:w="3024"/>
          </w:tcPr>
          <w:p>
            <w:r>
              <w:t>-</w:t>
            </w:r>
          </w:p>
        </w:tc>
      </w:tr>
      <w:tr>
        <w:tc>
          <w:tcPr>
            <w:tcW w:type="dxa" w:w="3024"/>
          </w:tcPr>
          <w:p>
            <w:r>
              <w:t>50</w:t>
            </w:r>
          </w:p>
        </w:tc>
        <w:tc>
          <w:tcPr>
            <w:tcW w:type="dxa" w:w="3024"/>
          </w:tcPr>
          <w:p>
            <w:r>
              <w:t>0.264 ± 0.047</w:t>
            </w:r>
          </w:p>
        </w:tc>
        <w:tc>
          <w:tcPr>
            <w:tcW w:type="dxa" w:w="3024"/>
          </w:tcPr>
          <w:p>
            <w:r>
              <w:t>-</w:t>
            </w:r>
          </w:p>
        </w:tc>
      </w:tr>
      <w:tr>
        <w:tc>
          <w:tcPr>
            <w:tcW w:type="dxa" w:w="3024"/>
          </w:tcPr>
          <w:p>
            <w:r>
              <w:t>75</w:t>
            </w:r>
          </w:p>
        </w:tc>
        <w:tc>
          <w:tcPr>
            <w:tcW w:type="dxa" w:w="3024"/>
          </w:tcPr>
          <w:p>
            <w:r>
              <w:t>0.221 ± 0.037</w:t>
            </w:r>
          </w:p>
        </w:tc>
        <w:tc>
          <w:tcPr>
            <w:tcW w:type="dxa" w:w="3024"/>
          </w:tcPr>
          <w:p>
            <w:r>
              <w:t>-</w:t>
            </w:r>
          </w:p>
        </w:tc>
      </w:tr>
      <w:tr>
        <w:tc>
          <w:tcPr>
            <w:tcW w:type="dxa" w:w="3024"/>
          </w:tcPr>
          <w:p>
            <w:r>
              <w:t>100</w:t>
            </w:r>
          </w:p>
        </w:tc>
        <w:tc>
          <w:tcPr>
            <w:tcW w:type="dxa" w:w="3024"/>
          </w:tcPr>
          <w:p>
            <w:r>
              <w:t>0.145 ± 0.037</w:t>
            </w:r>
          </w:p>
        </w:tc>
        <w:tc>
          <w:tcPr>
            <w:tcW w:type="dxa" w:w="3024"/>
          </w:tcPr>
          <w:p>
            <w:r>
              <w:t>0.250 ± 0.000</w:t>
            </w:r>
          </w:p>
        </w:tc>
      </w:tr>
    </w:tbl>
    <w:p>
      <w:pPr>
        <w:jc w:val="both"/>
      </w:pPr>
      <w:r>
        <w:t>When answers are hidden, performance falls steadily: macro-F1 0.390 with the natural answers, 0.325 with 25% hidden, 0.264 with 50%, 0.221 with 75% and 0.145 with all hidden. With no answers at all, the model gives every case the same category (normal_other for seed 0) and balanced accuracy is exactly 0.250, the chance level for four categories. This confirms that the missingness mask works as designed: an empty questionnaire adds no false information.</w:t>
      </w:r>
    </w:p>
    <w:p>
      <w:pPr>
        <w:jc w:val="both"/>
      </w:pPr>
      <w:r>
        <w:t>By skin tone (eFST), macro-F1 is 0.401 ± 0.045 for I-II (117 cases on average), 0.342 ± 0.100 for III-IV (120 cases) and 0.475 ± 0.131 for V-VI (23 cases). The worst group is III-IV in three seeds and I-II in two, with a mean macro-F1 of 0.319 ± 0.067. The higher value for V-VI should not be read as an advantage: the group has just over 20 cases, and the spread across seeds (0.131) is larger than the differences between groups. These values are the lower reference against which the photo-only and fusion models will be compared (RQ1).</w:t>
      </w:r>
    </w:p>
    <w:p>
      <w:pPr>
        <w:pStyle w:val="Heading2"/>
      </w:pPr>
      <w:r>
        <w:t>4.2 Photo, fusion and questionnaire: first comparison (E1)</w:t>
      </w:r>
    </w:p>
    <w:p>
      <w:pPr>
        <w:jc w:val="both"/>
      </w:pPr>
      <w:r>
        <w:t>The first complete E1 comparison uses EfficientNet-B0, the class-weighted loss and the same five seeds for all three arms (Table 2). The photo-only model reaches a macro-F1 of 0.537 ± 0.038, the concatenation fusion model 0.516 ± 0.057 and the questionnaire-only model 0.390 ± 0.038. To compare two models on the same seeds we use a paired test: for each seed the difference between the two models is computed, and the test checks whether the mean difference differs from 0. The fusion minus photo difference is −0.021 ± 0.031, and the paired t-test [27] gives p = 0.20 (the Wilcoxon signed-rank test, which does not assume a normal distribution, gives p = 0.31). The p-value is the probability of a difference at least this large if the models were in fact equally good; a value above 0.05 means the difference is not statistically significant. With only five seeds the test has little power, so the result shows that in this configuration the questionnaire does not improve classification, not that it harms it.</w:t>
      </w:r>
    </w:p>
    <w:p>
      <w:pPr>
        <w:jc w:val="both"/>
      </w:pPr>
      <w:r>
        <w:t>Table 2. Test results of the three E1 arms (mean ± standard deviation over 5 seeds, all answers available).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 (EfficientNet-B0, 5 seeds)</w:t>
            </w:r>
          </w:p>
        </w:tc>
        <w:tc>
          <w:tcPr>
            <w:tcW w:type="dxa" w:w="1814"/>
          </w:tcPr>
          <w:p>
            <w:r>
              <w:rPr>
                <w:b/>
              </w:rPr>
              <w:t>Macro-F1</w:t>
            </w:r>
          </w:p>
        </w:tc>
        <w:tc>
          <w:tcPr>
            <w:tcW w:type="dxa" w:w="1814"/>
          </w:tcPr>
          <w:p>
            <w:r>
              <w:rPr>
                <w:b/>
              </w:rPr>
              <w:t>Balanced accuracy</w:t>
            </w:r>
          </w:p>
        </w:tc>
        <w:tc>
          <w:tcPr>
            <w:tcW w:type="dxa" w:w="1814"/>
          </w:tcPr>
          <w:p>
            <w:r>
              <w:rPr>
                <w:b/>
              </w:rPr>
              <w:t>ECE</w:t>
            </w:r>
          </w:p>
        </w:tc>
        <w:tc>
          <w:tcPr>
            <w:tcW w:type="dxa" w:w="1814"/>
          </w:tcPr>
          <w:p>
            <w:r>
              <w:rPr>
                <w:b/>
              </w:rPr>
              <w:t>eFST V-VI macro-F1</w:t>
            </w:r>
          </w:p>
        </w:tc>
      </w:tr>
      <w:tr>
        <w:tc>
          <w:tcPr>
            <w:tcW w:type="dxa" w:w="1814"/>
          </w:tcPr>
          <w:p>
            <w:r>
              <w:t>Photo only</w:t>
            </w:r>
          </w:p>
        </w:tc>
        <w:tc>
          <w:tcPr>
            <w:tcW w:type="dxa" w:w="1814"/>
          </w:tcPr>
          <w:p>
            <w:r>
              <w:t>0.537 ± 0.038</w:t>
            </w:r>
          </w:p>
        </w:tc>
        <w:tc>
          <w:tcPr>
            <w:tcW w:type="dxa" w:w="1814"/>
          </w:tcPr>
          <w:p>
            <w:r>
              <w:t>0.624 ± 0.044</w:t>
            </w:r>
          </w:p>
        </w:tc>
        <w:tc>
          <w:tcPr>
            <w:tcW w:type="dxa" w:w="1814"/>
          </w:tcPr>
          <w:p>
            <w:r>
              <w:t>0.070 ± 0.012</w:t>
            </w:r>
          </w:p>
        </w:tc>
        <w:tc>
          <w:tcPr>
            <w:tcW w:type="dxa" w:w="1814"/>
          </w:tcPr>
          <w:p>
            <w:r>
              <w:t>0.490 ± 0.175</w:t>
            </w:r>
          </w:p>
        </w:tc>
      </w:tr>
      <w:tr>
        <w:tc>
          <w:tcPr>
            <w:tcW w:type="dxa" w:w="1814"/>
          </w:tcPr>
          <w:p>
            <w:r>
              <w:t>Fusion (concat)</w:t>
            </w:r>
          </w:p>
        </w:tc>
        <w:tc>
          <w:tcPr>
            <w:tcW w:type="dxa" w:w="1814"/>
          </w:tcPr>
          <w:p>
            <w:r>
              <w:t>0.516 ± 0.057</w:t>
            </w:r>
          </w:p>
        </w:tc>
        <w:tc>
          <w:tcPr>
            <w:tcW w:type="dxa" w:w="1814"/>
          </w:tcPr>
          <w:p>
            <w:r>
              <w:t>0.595 ± 0.038</w:t>
            </w:r>
          </w:p>
        </w:tc>
        <w:tc>
          <w:tcPr>
            <w:tcW w:type="dxa" w:w="1814"/>
          </w:tcPr>
          <w:p>
            <w:r>
              <w:t>0.088 ± 0.056</w:t>
            </w:r>
          </w:p>
        </w:tc>
        <w:tc>
          <w:tcPr>
            <w:tcW w:type="dxa" w:w="1814"/>
          </w:tcPr>
          <w:p>
            <w:r>
              <w:t>0.445 ± 0.085</w:t>
            </w:r>
          </w:p>
        </w:tc>
      </w:tr>
      <w:tr>
        <w:tc>
          <w:tcPr>
            <w:tcW w:type="dxa" w:w="1814"/>
          </w:tcPr>
          <w:p>
            <w:r>
              <w:t>Questionnaire only</w:t>
            </w:r>
          </w:p>
        </w:tc>
        <w:tc>
          <w:tcPr>
            <w:tcW w:type="dxa" w:w="1814"/>
          </w:tcPr>
          <w:p>
            <w:r>
              <w:t>0.390 ± 0.038</w:t>
            </w:r>
          </w:p>
        </w:tc>
        <w:tc>
          <w:tcPr>
            <w:tcW w:type="dxa" w:w="1814"/>
          </w:tcPr>
          <w:p>
            <w:r>
              <w:t>0.443 ± 0.043</w:t>
            </w:r>
          </w:p>
        </w:tc>
        <w:tc>
          <w:tcPr>
            <w:tcW w:type="dxa" w:w="1814"/>
          </w:tcPr>
          <w:p>
            <w:r>
              <w:t>0.083 ± 0.020</w:t>
            </w:r>
          </w:p>
        </w:tc>
        <w:tc>
          <w:tcPr>
            <w:tcW w:type="dxa" w:w="1814"/>
          </w:tcPr>
          <w:p>
            <w:r>
              <w:t>0.475 ± 0.131</w:t>
            </w:r>
          </w:p>
        </w:tc>
      </w:tr>
    </w:tbl>
    <w:p>
      <w:pPr>
        <w:jc w:val="both"/>
      </w:pPr>
      <w:r>
        <w:t>Two observations may explain the result (hypotheses not yet tested). First, the fusion model hardly uses the questionnaire: macro-F1 stays between 0.506 and 0.518 whether 0%, 25%, 50%, 75% or 100% of the answers are hidden, although the questionnaire alone carries signal (0.390). The image branch (1,280 features) dominates the questionnaire branch (64 features) in the concatenation layer, and hiding the questionnaire in 30% of training samples reduces its contribution further. Second, for three of the five seeds the selected fusion checkpoint comes from stage 1, within the first three epochs, so the network did not benefit from fine-tuning the upper layers; validation macro-F1, computed on about 270 cases, varies a lot from epoch to epoch, so selection on validation is noisy. By skin tone, both models are weakest on eFST V-VI (photo 0.490 ± 0.175, fusion 0.445 ± 0.085, about 23 cases), with V-VI the worst group in three seeds for the photo model. The next steps are the gated and FiLM fusion variants, which can give the questionnaire more influence, and training without modality dropout (E2), to separate the effect of the architecture from that of hiding answers.</w:t>
      </w:r>
    </w:p>
    <w:p>
      <w:pPr>
        <w:pStyle w:val="Heading2"/>
      </w:pPr>
      <w:r>
        <w:t>4.3 Fusion variants and ensemble: does the questionnaire add information?</w:t>
      </w:r>
    </w:p>
    <w:p>
      <w:pPr>
        <w:jc w:val="both"/>
      </w:pPr>
      <w:r>
        <w:t xml:space="preserve">To find out whether the previous result depends on the fusion architecture, </w:t>
      </w:r>
      <w:r>
        <w:rPr>
          <w:rFonts w:ascii="Courier New" w:hAnsi="Courier New" w:eastAsia="Courier New" w:cs="Courier New"/>
          <w:sz w:val="19"/>
        </w:rPr>
        <w:t>ml/run_e1.py</w:t>
      </w:r>
      <w:r>
        <w:t xml:space="preserve"> trains three more variants on the same five seeds: gated fusion, FiLM fusion and concatenation fusion without modality dropout. We also add an ensemble of the two separately trained models: the probabilities of the photo-only and the questionnaire-only model are combined by a weighted geometric mean (log-linear pooling) [29], p ∝ p_photo^w · p_questionnaire^(1−w), with the weight w chosen on the validation set from 0, 0.1, ..., 1, without retraining. If the ensemble beat the photo-only model, the questionnaire would hold information the photo lacks but the jointly trained models fail to use. All models are tested on exactly the same cases, and differences are computed pairwise on those cases with seed-stratified bootstrap confidence intervals (cases are resampled within each seed's test set and the difference is averaged over seeds). Results are in Table 3 and in </w:t>
      </w:r>
      <w:r>
        <w:rPr>
          <w:rFonts w:ascii="Courier New" w:hAnsi="Courier New" w:eastAsia="Courier New" w:cs="Courier New"/>
          <w:sz w:val="19"/>
        </w:rPr>
        <w:t>ml/results/e1/e1_summary.csv</w:t>
      </w:r>
      <w:r>
        <w:t xml:space="preserve"> and </w:t>
      </w:r>
      <w:r>
        <w:rPr>
          <w:rFonts w:ascii="Courier New" w:hAnsi="Courier New" w:eastAsia="Courier New" w:cs="Courier New"/>
          <w:sz w:val="19"/>
        </w:rPr>
        <w:t>e1_table.md</w:t>
      </w:r>
      <w:r>
        <w:t>.</w:t>
      </w:r>
    </w:p>
    <w:p>
      <w:pPr>
        <w:jc w:val="both"/>
      </w:pPr>
      <w:r>
        <w:t>Table 3. All E1 arms on the test set (EfficientNet-B0, weighted loss, 5 seeds; mean ± standard deviation, seed-stratified bootstrap confidence interval; paired differences on the same cases).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w:t>
            </w:r>
          </w:p>
        </w:tc>
        <w:tc>
          <w:tcPr>
            <w:tcW w:type="dxa" w:w="1814"/>
          </w:tcPr>
          <w:p>
            <w:r>
              <w:rPr>
                <w:b/>
              </w:rPr>
              <w:t>95% CI</w:t>
            </w:r>
          </w:p>
        </w:tc>
        <w:tc>
          <w:tcPr>
            <w:tcW w:type="dxa" w:w="1814"/>
          </w:tcPr>
          <w:p>
            <w:r>
              <w:rPr>
                <w:b/>
              </w:rPr>
              <w:t>Difference vs photo [95% CI]</w:t>
            </w:r>
          </w:p>
        </w:tc>
        <w:tc>
          <w:tcPr>
            <w:tcW w:type="dxa" w:w="1814"/>
          </w:tcPr>
          <w:p>
            <w:r>
              <w:rPr>
                <w:b/>
              </w:rPr>
              <w:t>Macro-F1, answers hidden</w:t>
            </w:r>
          </w:p>
        </w:tc>
      </w:tr>
      <w:tr>
        <w:tc>
          <w:tcPr>
            <w:tcW w:type="dxa" w:w="1814"/>
          </w:tcPr>
          <w:p>
            <w:r>
              <w:t>Photo only</w:t>
            </w:r>
          </w:p>
        </w:tc>
        <w:tc>
          <w:tcPr>
            <w:tcW w:type="dxa" w:w="1814"/>
          </w:tcPr>
          <w:p>
            <w:r>
              <w:t>0.537 ± 0.038</w:t>
            </w:r>
          </w:p>
        </w:tc>
        <w:tc>
          <w:tcPr>
            <w:tcW w:type="dxa" w:w="1814"/>
          </w:tcPr>
          <w:p>
            <w:r>
              <w:t>[0.493, 0.572]</w:t>
            </w:r>
          </w:p>
        </w:tc>
        <w:tc>
          <w:tcPr>
            <w:tcW w:type="dxa" w:w="1814"/>
          </w:tcPr>
          <w:p>
            <w:r>
              <w:t>-</w:t>
            </w:r>
          </w:p>
        </w:tc>
        <w:tc>
          <w:tcPr>
            <w:tcW w:type="dxa" w:w="1814"/>
          </w:tcPr>
          <w:p>
            <w:r>
              <w:t>-</w:t>
            </w:r>
          </w:p>
        </w:tc>
      </w:tr>
      <w:tr>
        <w:tc>
          <w:tcPr>
            <w:tcW w:type="dxa" w:w="1814"/>
          </w:tcPr>
          <w:p>
            <w:r>
              <w:t>Questionnaire only</w:t>
            </w:r>
          </w:p>
        </w:tc>
        <w:tc>
          <w:tcPr>
            <w:tcW w:type="dxa" w:w="1814"/>
          </w:tcPr>
          <w:p>
            <w:r>
              <w:t>0.390 ± 0.038</w:t>
            </w:r>
          </w:p>
        </w:tc>
        <w:tc>
          <w:tcPr>
            <w:tcW w:type="dxa" w:w="1814"/>
          </w:tcPr>
          <w:p>
            <w:r>
              <w:t>[0.344, 0.428]</w:t>
            </w:r>
          </w:p>
        </w:tc>
        <w:tc>
          <w:tcPr>
            <w:tcW w:type="dxa" w:w="1814"/>
          </w:tcPr>
          <w:p>
            <w:r>
              <w:t>-0.147 [-0.199, -0.096]</w:t>
            </w:r>
          </w:p>
        </w:tc>
        <w:tc>
          <w:tcPr>
            <w:tcW w:type="dxa" w:w="1814"/>
          </w:tcPr>
          <w:p>
            <w:r>
              <w:t>0.145</w:t>
            </w:r>
          </w:p>
        </w:tc>
      </w:tr>
      <w:tr>
        <w:tc>
          <w:tcPr>
            <w:tcW w:type="dxa" w:w="1814"/>
          </w:tcPr>
          <w:p>
            <w:r>
              <w:t>Fusion concat</w:t>
            </w:r>
          </w:p>
        </w:tc>
        <w:tc>
          <w:tcPr>
            <w:tcW w:type="dxa" w:w="1814"/>
          </w:tcPr>
          <w:p>
            <w:r>
              <w:t>0.516 ± 0.057</w:t>
            </w:r>
          </w:p>
        </w:tc>
        <w:tc>
          <w:tcPr>
            <w:tcW w:type="dxa" w:w="1814"/>
          </w:tcPr>
          <w:p>
            <w:r>
              <w:t>[0.468, 0.551]</w:t>
            </w:r>
          </w:p>
        </w:tc>
        <w:tc>
          <w:tcPr>
            <w:tcW w:type="dxa" w:w="1814"/>
          </w:tcPr>
          <w:p>
            <w:r>
              <w:t>-0.021 [-0.051, +0.007]</w:t>
            </w:r>
          </w:p>
        </w:tc>
        <w:tc>
          <w:tcPr>
            <w:tcW w:type="dxa" w:w="1814"/>
          </w:tcPr>
          <w:p>
            <w:r>
              <w:t>0.506</w:t>
            </w:r>
          </w:p>
        </w:tc>
      </w:tr>
      <w:tr>
        <w:tc>
          <w:tcPr>
            <w:tcW w:type="dxa" w:w="1814"/>
          </w:tcPr>
          <w:p>
            <w:r>
              <w:t>Fusion gated</w:t>
            </w:r>
          </w:p>
        </w:tc>
        <w:tc>
          <w:tcPr>
            <w:tcW w:type="dxa" w:w="1814"/>
          </w:tcPr>
          <w:p>
            <w:r>
              <w:t>0.514 ± 0.040</w:t>
            </w:r>
          </w:p>
        </w:tc>
        <w:tc>
          <w:tcPr>
            <w:tcW w:type="dxa" w:w="1814"/>
          </w:tcPr>
          <w:p>
            <w:r>
              <w:t>[0.464, 0.550]</w:t>
            </w:r>
          </w:p>
        </w:tc>
        <w:tc>
          <w:tcPr>
            <w:tcW w:type="dxa" w:w="1814"/>
          </w:tcPr>
          <w:p>
            <w:r>
              <w:t>-0.023 [-0.060, +0.011]</w:t>
            </w:r>
          </w:p>
        </w:tc>
        <w:tc>
          <w:tcPr>
            <w:tcW w:type="dxa" w:w="1814"/>
          </w:tcPr>
          <w:p>
            <w:r>
              <w:t>0.521</w:t>
            </w:r>
          </w:p>
        </w:tc>
      </w:tr>
      <w:tr>
        <w:tc>
          <w:tcPr>
            <w:tcW w:type="dxa" w:w="1814"/>
          </w:tcPr>
          <w:p>
            <w:r>
              <w:t>Fusion FiLM</w:t>
            </w:r>
          </w:p>
        </w:tc>
        <w:tc>
          <w:tcPr>
            <w:tcW w:type="dxa" w:w="1814"/>
          </w:tcPr>
          <w:p>
            <w:r>
              <w:t>0.544 ± 0.043</w:t>
            </w:r>
          </w:p>
        </w:tc>
        <w:tc>
          <w:tcPr>
            <w:tcW w:type="dxa" w:w="1814"/>
          </w:tcPr>
          <w:p>
            <w:r>
              <w:t>[0.497, 0.579]</w:t>
            </w:r>
          </w:p>
        </w:tc>
        <w:tc>
          <w:tcPr>
            <w:tcW w:type="dxa" w:w="1814"/>
          </w:tcPr>
          <w:p>
            <w:r>
              <w:t>+0.008 [-0.023, +0.038]</w:t>
            </w:r>
          </w:p>
        </w:tc>
        <w:tc>
          <w:tcPr>
            <w:tcW w:type="dxa" w:w="1814"/>
          </w:tcPr>
          <w:p>
            <w:r>
              <w:t>0.518</w:t>
            </w:r>
          </w:p>
        </w:tc>
      </w:tr>
      <w:tr>
        <w:tc>
          <w:tcPr>
            <w:tcW w:type="dxa" w:w="1814"/>
          </w:tcPr>
          <w:p>
            <w:r>
              <w:t>Concat, no dropout</w:t>
            </w:r>
          </w:p>
        </w:tc>
        <w:tc>
          <w:tcPr>
            <w:tcW w:type="dxa" w:w="1814"/>
          </w:tcPr>
          <w:p>
            <w:r>
              <w:t>0.503 ± 0.046</w:t>
            </w:r>
          </w:p>
        </w:tc>
        <w:tc>
          <w:tcPr>
            <w:tcW w:type="dxa" w:w="1814"/>
          </w:tcPr>
          <w:p>
            <w:r>
              <w:t>[0.456, 0.538]</w:t>
            </w:r>
          </w:p>
        </w:tc>
        <w:tc>
          <w:tcPr>
            <w:tcW w:type="dxa" w:w="1814"/>
          </w:tcPr>
          <w:p>
            <w:r>
              <w:t>-0.033 [-0.067, -0.002]</w:t>
            </w:r>
          </w:p>
        </w:tc>
        <w:tc>
          <w:tcPr>
            <w:tcW w:type="dxa" w:w="1814"/>
          </w:tcPr>
          <w:p>
            <w:r>
              <w:t>0.495</w:t>
            </w:r>
          </w:p>
        </w:tc>
      </w:tr>
      <w:tr>
        <w:tc>
          <w:tcPr>
            <w:tcW w:type="dxa" w:w="1814"/>
          </w:tcPr>
          <w:p>
            <w:r>
              <w:t>Ensemble photo × questionnaire</w:t>
            </w:r>
          </w:p>
        </w:tc>
        <w:tc>
          <w:tcPr>
            <w:tcW w:type="dxa" w:w="1814"/>
          </w:tcPr>
          <w:p>
            <w:r>
              <w:t>0.521 ± 0.035</w:t>
            </w:r>
          </w:p>
        </w:tc>
        <w:tc>
          <w:tcPr>
            <w:tcW w:type="dxa" w:w="1814"/>
          </w:tcPr>
          <w:p>
            <w:r>
              <w:t>[0.470, 0.556]</w:t>
            </w:r>
          </w:p>
        </w:tc>
        <w:tc>
          <w:tcPr>
            <w:tcW w:type="dxa" w:w="1814"/>
          </w:tcPr>
          <w:p>
            <w:r>
              <w:t>-0.016 [-0.053, +0.018]</w:t>
            </w:r>
          </w:p>
        </w:tc>
        <w:tc>
          <w:tcPr>
            <w:tcW w:type="dxa" w:w="1814"/>
          </w:tcPr>
          <w:p>
            <w:r>
              <w:t>0.549</w:t>
            </w:r>
          </w:p>
        </w:tc>
      </w:tr>
    </w:tbl>
    <w:p>
      <w:pPr>
        <w:jc w:val="both"/>
      </w:pPr>
      <w:r>
        <w:t>None of the variants is significantly better than the photo-only model (macro-F1 0.537 ± 0.038). FiLM fusion scores best, 0.544 ± 0.043, but its difference from the photo model is +0.008 (95% CI −0.023 to +0.038; better in 3 of 5 seeds). Gated fusion reaches 0.514 ± 0.040 (−0.023 [−0.060, +0.011]) and the ensemble 0.521 ± 0.035 (−0.016 [−0.053, +0.018]). Concatenation fusion without modality dropout is the only variant significantly worse than the photo: 0.503 ± 0.046, difference −0.033 [−0.067, −0.002], worse in all 5 seeds. The hypothesis that hiding answers during training prevented the use of the questionnaire is therefore not supported: without it the result is even worse.</w:t>
      </w:r>
    </w:p>
    <w:p>
      <w:pPr>
        <w:jc w:val="both"/>
      </w:pPr>
      <w:r>
        <w:t>The hidden-questionnaire test confirms the overall picture: with all answers hidden, macro-F1 stays practically the same for concatenation (0.506), gated (0.521) and FiLM fusion (0.518). Only FiLM loses something (0.544 → 0.518), so it is the only variant that uses the questionnaire a little. For the ensemble, the weight chosen on validation gave the questionnaire a role in three seeds, but the gain seen on validation did not carry over to the test set, showing that the validation advantage was noise. The conclusion for RQ1 in this configuration is that on SCIN, with the questionnaire encoded this way, the answers add no measurable information beyond the photo for the four categories, although on their own they carry clear signal (0.390 versus chance). A first hypothesis, that the questionnaire's information (e.g. body area or lesion texture) is already visible in the photo, was tested in Section 4.5 and not supported. The result is limited by the size of the set (about 1,270 training and 270 test cases per seed) and by the five seeds, which can only detect differences of about 0.03-0.04 macro-F1.</w:t>
      </w:r>
    </w:p>
    <w:p>
      <w:pPr>
        <w:pStyle w:val="Heading2"/>
      </w:pPr>
      <w:r>
        <w:t>4.4 Final results over ten seeds, by skin tone and by category</w:t>
      </w:r>
    </w:p>
    <w:p>
      <w:pPr>
        <w:jc w:val="both"/>
      </w:pPr>
      <w:r>
        <w:t xml:space="preserve">The results in Sections 4.2 and 4.3 use the first five seeds and are preliminary. To narrow the confidence intervals, five more split variants were created (seeds 5-9; splits 0-4 stayed identical) and every arm was retrained on them. The analysis plan was fixed before the new results were seen: the same arms and metrics, paired differences against the photo-only model, and Holm-corrected p-values [30] for tone groups and categories. The Holm correction is needed because many tests are run at once (6 tone groups and 4 categories per model): with 10 tests, at least one 'significant' result can appear by chance, and the correction raises the threshold so that the probability of any such false alarm in the whole family stays below 5%. The Wilcoxon signed-rank test [31] compares the per-seed differences without assuming a normal distribution. Full results are in </w:t>
      </w:r>
      <w:r>
        <w:rPr>
          <w:rFonts w:ascii="Courier New" w:hAnsi="Courier New" w:eastAsia="Courier New" w:cs="Courier New"/>
          <w:sz w:val="19"/>
        </w:rPr>
        <w:t>ml/results/e1/</w:t>
      </w:r>
      <w:r>
        <w:t xml:space="preserve"> (all ten seeds), and the halves </w:t>
      </w:r>
      <w:r>
        <w:rPr>
          <w:rFonts w:ascii="Courier New" w:hAnsi="Courier New" w:eastAsia="Courier New" w:cs="Courier New"/>
          <w:sz w:val="19"/>
        </w:rPr>
        <w:t>seeds0-4</w:t>
      </w:r>
      <w:r>
        <w:t xml:space="preserve"> and </w:t>
      </w:r>
      <w:r>
        <w:rPr>
          <w:rFonts w:ascii="Courier New" w:hAnsi="Courier New" w:eastAsia="Courier New" w:cs="Courier New"/>
          <w:sz w:val="19"/>
        </w:rPr>
        <w:t>seeds5-9</w:t>
      </w:r>
      <w:r>
        <w:t xml:space="preserve"> are reported separately as a replication check.</w:t>
      </w:r>
    </w:p>
    <w:p>
      <w:pPr>
        <w:jc w:val="both"/>
      </w:pPr>
      <w:r>
        <w:t>Over ten seeds (Table 4), the photo-only model reaches a macro-F1 of 0.519 ± 0.040, and none of the variants that use the questionnaire beats it: concatenation −0.005 [95% CI −0.024, +0.014], better in 6 of 10 seeds; FiLM +0.000 [−0.023, +0.023], 5/10; concatenation without dropout −0.014 [−0.035, +0.006]; ensemble −0.021 [−0.047, +0.003]. Gated fusion is even worse: −0.030 [−0.053, −0.007], better in only 2 of 10 seeds (Wilcoxon p = 0.037). The small lead of FiLM over the first five seeds (+0.008) disappeared, which shows why five seeds are not enough. The narrower intervals allow a firmer conclusion: with 95% confidence, any gain from the questionnaire in this configuration is smaller than about 0.02 macro-F1 (the upper end of the interval is +0.023 for FiLM and +0.014 for concatenation).</w:t>
      </w:r>
    </w:p>
    <w:p>
      <w:pPr>
        <w:jc w:val="both"/>
      </w:pPr>
      <w:r>
        <w:t>Table 4. All E1 arms over ten seeds (EfficientNet-B0, weighted loss; mean ± standard deviation; paired differences on the same cases, seed-stratified bootstrap interval).</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Macro-F1 (10 seeds)</w:t>
            </w:r>
          </w:p>
        </w:tc>
        <w:tc>
          <w:tcPr>
            <w:tcW w:type="dxa" w:w="1814"/>
          </w:tcPr>
          <w:p>
            <w:r>
              <w:rPr>
                <w:b/>
              </w:rPr>
              <w:t>Difference vs photo [95% CI]</w:t>
            </w:r>
          </w:p>
        </w:tc>
        <w:tc>
          <w:tcPr>
            <w:tcW w:type="dxa" w:w="1814"/>
          </w:tcPr>
          <w:p>
            <w:r>
              <w:rPr>
                <w:b/>
              </w:rPr>
              <w:t>Seeds better</w:t>
            </w:r>
          </w:p>
        </w:tc>
        <w:tc>
          <w:tcPr>
            <w:tcW w:type="dxa" w:w="1814"/>
          </w:tcPr>
          <w:p>
            <w:r>
              <w:rPr>
                <w:b/>
              </w:rPr>
              <w:t>Macro-F1, answers hidden</w:t>
            </w:r>
          </w:p>
        </w:tc>
      </w:tr>
      <w:tr>
        <w:tc>
          <w:tcPr>
            <w:tcW w:type="dxa" w:w="1814"/>
          </w:tcPr>
          <w:p>
            <w:r>
              <w:t>Photo only</w:t>
            </w:r>
          </w:p>
        </w:tc>
        <w:tc>
          <w:tcPr>
            <w:tcW w:type="dxa" w:w="1814"/>
          </w:tcPr>
          <w:p>
            <w:r>
              <w:t>0.519 ± 0.040</w:t>
            </w:r>
          </w:p>
        </w:tc>
        <w:tc>
          <w:tcPr>
            <w:tcW w:type="dxa" w:w="1814"/>
          </w:tcPr>
          <w:p>
            <w:r>
              <w:t>-</w:t>
            </w:r>
          </w:p>
        </w:tc>
        <w:tc>
          <w:tcPr>
            <w:tcW w:type="dxa" w:w="1814"/>
          </w:tcPr>
          <w:p>
            <w:r>
              <w:t>-</w:t>
            </w:r>
          </w:p>
        </w:tc>
        <w:tc>
          <w:tcPr>
            <w:tcW w:type="dxa" w:w="1814"/>
          </w:tcPr>
          <w:p>
            <w:r>
              <w:t>-</w:t>
            </w:r>
          </w:p>
        </w:tc>
      </w:tr>
      <w:tr>
        <w:tc>
          <w:tcPr>
            <w:tcW w:type="dxa" w:w="1814"/>
          </w:tcPr>
          <w:p>
            <w:r>
              <w:t>Questionnaire only</w:t>
            </w:r>
          </w:p>
        </w:tc>
        <w:tc>
          <w:tcPr>
            <w:tcW w:type="dxa" w:w="1814"/>
          </w:tcPr>
          <w:p>
            <w:r>
              <w:t>0.381 ± 0.050</w:t>
            </w:r>
          </w:p>
        </w:tc>
        <w:tc>
          <w:tcPr>
            <w:tcW w:type="dxa" w:w="1814"/>
          </w:tcPr>
          <w:p>
            <w:r>
              <w:t>-0.138 [-0.173, -0.102]</w:t>
            </w:r>
          </w:p>
        </w:tc>
        <w:tc>
          <w:tcPr>
            <w:tcW w:type="dxa" w:w="1814"/>
          </w:tcPr>
          <w:p>
            <w:r>
              <w:t>0/10</w:t>
            </w:r>
          </w:p>
        </w:tc>
        <w:tc>
          <w:tcPr>
            <w:tcW w:type="dxa" w:w="1814"/>
          </w:tcPr>
          <w:p>
            <w:r>
              <w:t>0.138</w:t>
            </w:r>
          </w:p>
        </w:tc>
      </w:tr>
      <w:tr>
        <w:tc>
          <w:tcPr>
            <w:tcW w:type="dxa" w:w="1814"/>
          </w:tcPr>
          <w:p>
            <w:r>
              <w:t>Fusion concat</w:t>
            </w:r>
          </w:p>
        </w:tc>
        <w:tc>
          <w:tcPr>
            <w:tcW w:type="dxa" w:w="1814"/>
          </w:tcPr>
          <w:p>
            <w:r>
              <w:t>0.514 ± 0.040</w:t>
            </w:r>
          </w:p>
        </w:tc>
        <w:tc>
          <w:tcPr>
            <w:tcW w:type="dxa" w:w="1814"/>
          </w:tcPr>
          <w:p>
            <w:r>
              <w:t>-0.005 [-0.024, +0.014]</w:t>
            </w:r>
          </w:p>
        </w:tc>
        <w:tc>
          <w:tcPr>
            <w:tcW w:type="dxa" w:w="1814"/>
          </w:tcPr>
          <w:p>
            <w:r>
              <w:t>6/10</w:t>
            </w:r>
          </w:p>
        </w:tc>
        <w:tc>
          <w:tcPr>
            <w:tcW w:type="dxa" w:w="1814"/>
          </w:tcPr>
          <w:p>
            <w:r>
              <w:t>0.505</w:t>
            </w:r>
          </w:p>
        </w:tc>
      </w:tr>
      <w:tr>
        <w:tc>
          <w:tcPr>
            <w:tcW w:type="dxa" w:w="1814"/>
          </w:tcPr>
          <w:p>
            <w:r>
              <w:t>Fusion gated</w:t>
            </w:r>
          </w:p>
        </w:tc>
        <w:tc>
          <w:tcPr>
            <w:tcW w:type="dxa" w:w="1814"/>
          </w:tcPr>
          <w:p>
            <w:r>
              <w:t>0.490 ± 0.041</w:t>
            </w:r>
          </w:p>
        </w:tc>
        <w:tc>
          <w:tcPr>
            <w:tcW w:type="dxa" w:w="1814"/>
          </w:tcPr>
          <w:p>
            <w:r>
              <w:t>-0.030 [-0.053, -0.007]</w:t>
            </w:r>
          </w:p>
        </w:tc>
        <w:tc>
          <w:tcPr>
            <w:tcW w:type="dxa" w:w="1814"/>
          </w:tcPr>
          <w:p>
            <w:r>
              <w:t>2/10</w:t>
            </w:r>
          </w:p>
        </w:tc>
        <w:tc>
          <w:tcPr>
            <w:tcW w:type="dxa" w:w="1814"/>
          </w:tcPr>
          <w:p>
            <w:r>
              <w:t>0.491</w:t>
            </w:r>
          </w:p>
        </w:tc>
      </w:tr>
      <w:tr>
        <w:tc>
          <w:tcPr>
            <w:tcW w:type="dxa" w:w="1814"/>
          </w:tcPr>
          <w:p>
            <w:r>
              <w:t>Fusion FiLM</w:t>
            </w:r>
          </w:p>
        </w:tc>
        <w:tc>
          <w:tcPr>
            <w:tcW w:type="dxa" w:w="1814"/>
          </w:tcPr>
          <w:p>
            <w:r>
              <w:t>0.519 ± 0.044</w:t>
            </w:r>
          </w:p>
        </w:tc>
        <w:tc>
          <w:tcPr>
            <w:tcW w:type="dxa" w:w="1814"/>
          </w:tcPr>
          <w:p>
            <w:r>
              <w:t>+0.000 [-0.023, +0.023]</w:t>
            </w:r>
          </w:p>
        </w:tc>
        <w:tc>
          <w:tcPr>
            <w:tcW w:type="dxa" w:w="1814"/>
          </w:tcPr>
          <w:p>
            <w:r>
              <w:t>5/10</w:t>
            </w:r>
          </w:p>
        </w:tc>
        <w:tc>
          <w:tcPr>
            <w:tcW w:type="dxa" w:w="1814"/>
          </w:tcPr>
          <w:p>
            <w:r>
              <w:t>0.513</w:t>
            </w:r>
          </w:p>
        </w:tc>
      </w:tr>
      <w:tr>
        <w:tc>
          <w:tcPr>
            <w:tcW w:type="dxa" w:w="1814"/>
          </w:tcPr>
          <w:p>
            <w:r>
              <w:t>Concat, no dropout</w:t>
            </w:r>
          </w:p>
        </w:tc>
        <w:tc>
          <w:tcPr>
            <w:tcW w:type="dxa" w:w="1814"/>
          </w:tcPr>
          <w:p>
            <w:r>
              <w:t>0.505 ± 0.036</w:t>
            </w:r>
          </w:p>
        </w:tc>
        <w:tc>
          <w:tcPr>
            <w:tcW w:type="dxa" w:w="1814"/>
          </w:tcPr>
          <w:p>
            <w:r>
              <w:t>-0.014 [-0.035, +0.006]</w:t>
            </w:r>
          </w:p>
        </w:tc>
        <w:tc>
          <w:tcPr>
            <w:tcW w:type="dxa" w:w="1814"/>
          </w:tcPr>
          <w:p>
            <w:r>
              <w:t>3/10</w:t>
            </w:r>
          </w:p>
        </w:tc>
        <w:tc>
          <w:tcPr>
            <w:tcW w:type="dxa" w:w="1814"/>
          </w:tcPr>
          <w:p>
            <w:r>
              <w:t>0.504</w:t>
            </w:r>
          </w:p>
        </w:tc>
      </w:tr>
      <w:tr>
        <w:tc>
          <w:tcPr>
            <w:tcW w:type="dxa" w:w="1814"/>
          </w:tcPr>
          <w:p>
            <w:r>
              <w:t>Ensemble photo × questionnaire</w:t>
            </w:r>
          </w:p>
        </w:tc>
        <w:tc>
          <w:tcPr>
            <w:tcW w:type="dxa" w:w="1814"/>
          </w:tcPr>
          <w:p>
            <w:r>
              <w:t>0.498 ± 0.052</w:t>
            </w:r>
          </w:p>
        </w:tc>
        <w:tc>
          <w:tcPr>
            <w:tcW w:type="dxa" w:w="1814"/>
          </w:tcPr>
          <w:p>
            <w:r>
              <w:t>-0.021 [-0.047, +0.003]</w:t>
            </w:r>
          </w:p>
        </w:tc>
        <w:tc>
          <w:tcPr>
            <w:tcW w:type="dxa" w:w="1814"/>
          </w:tcPr>
          <w:p>
            <w:r>
              <w:t>3/10</w:t>
            </w:r>
          </w:p>
        </w:tc>
        <w:tc>
          <w:tcPr>
            <w:tcW w:type="dxa" w:w="1814"/>
          </w:tcPr>
          <w:p>
            <w:r>
              <w:t>0.496</w:t>
            </w:r>
          </w:p>
        </w:tc>
      </w:tr>
    </w:tbl>
    <w:p>
      <w:pPr>
        <w:jc w:val="both"/>
      </w:pPr>
      <w:r>
        <w:t>The group analysis gives the same answer to the question 'for whom?'. No fusion variant significantly improves any tone group (eFST I-II, III-IV, V-VI; eMST 1-3, 4-6, 7-10) or any category after the Holm correction; the only significant effect of fusion is negative: the gated variant lowers macro-F1 on eFST III-IV by 0.073 (Holm p = 0.028). Over the first five seeds, FiLM seemed better on eMST 4-6 (+0.088, in all 5 seeds); this hint was recorded before seeds 5-9 were run and did not replicate (−0.013, better in only one seed of five), so it was noise. The photo-only model is weakest on eMST 4-6 (0.457 ± 0.069, about 72 cases per seed) and on eFST V-VI (0.496 ± 0.140, about 23 cases), and acne remains the hardest category (F1 0.320 ± 0.064). One detail matters for the discussion: the gap between the questionnaire and the photo is smallest precisely on the darker groups (eFST V-VI −0.070, eMST 4-6 −0.050, both not significant, versus −0.12 to −0.20 on the other groups), which suggests that the photo loses part of its advantage on darker skin, but the fusion models do not manage to compensate with the questionnaire. Small groups (eMST 7-10 has 11 cases per seed, redness_rosacea 6) have very wide intervals and do not support conclusions.</w:t>
      </w:r>
    </w:p>
    <w:p>
      <w:pPr>
        <w:pStyle w:val="Heading2"/>
      </w:pPr>
      <w:r>
        <w:t>4.5 Why does the questionnaire not help?</w:t>
      </w:r>
    </w:p>
    <w:p>
      <w:pPr>
        <w:jc w:val="both"/>
      </w:pPr>
      <w:r>
        <w:t xml:space="preserve">The result is surprising, because in SCIN the dermatologists saw both the photos and the questionnaire answers when they assigned labels, and their confidence increased with the number of available answers [32]. To understand why the models do not benefit from the questionnaire, </w:t>
      </w:r>
      <w:r>
        <w:rPr>
          <w:rFonts w:ascii="Courier New" w:hAnsi="Courier New" w:eastAsia="Courier New" w:cs="Courier New"/>
          <w:sz w:val="19"/>
        </w:rPr>
        <w:t>ml/analysis/questionnaire_diagnostics.py</w:t>
      </w:r>
      <w:r>
        <w:t xml:space="preserve"> runs three checks on the already trained models (ten seeds, no retraining); results are in </w:t>
      </w:r>
      <w:r>
        <w:rPr>
          <w:rFonts w:ascii="Courier New" w:hAnsi="Courier New" w:eastAsia="Courier New" w:cs="Courier New"/>
          <w:sz w:val="19"/>
        </w:rPr>
        <w:t>ml/results/e1/diagnostics/</w:t>
      </w:r>
      <w:r>
        <w:t>.</w:t>
      </w:r>
    </w:p>
    <w:p>
      <w:pPr>
        <w:jc w:val="both"/>
      </w:pPr>
      <w:r>
        <w:t>(1) Can the photo model 'see' the answers? A logistic regression on the internal features of the network trained on photos predicts each answer, and prediction quality is measured by the AUROC [33] (area under the ROC curve: 0.5 means random guessing, 1 means perfect prediction). Values range from 0.50 to 0.70: body area 0.57-0.69, symptoms 0.51-0.57, texture 0.50-0.55, duration 0.56. SCIN photos are mostly close-ups, so even the body area is hard to see. The questionnaire therefore holds information the photo model lacks; the redundancy hypothesis is not supported.</w:t>
      </w:r>
    </w:p>
    <w:p>
      <w:pPr>
        <w:jc w:val="both"/>
      </w:pPr>
      <w:r>
        <w:t>(2) Do the two models fail on the same cases? If errors were independent, the questionnaire-only model would be right on the photo's mistakes as often as overall (48.2%). In fact it is right on only 42.6% of them, versus 52.6% on the cases the photo gets right. Errors are therefore correlated: hard cases are hard for both models, which points to ambiguous images and noisy labels rather than missing information. There would still be room for gain: an 'oracle' that always picks the right model would reach an accuracy of 0.749 versus 0.564 for the photo, but nothing in the inputs tells when to trust the questionnaire; the ensemble, which tried exactly that with a weight chosen on validation, did not succeed.</w:t>
      </w:r>
    </w:p>
    <w:p>
      <w:pPr>
        <w:jc w:val="both"/>
      </w:pPr>
      <w:r>
        <w:t>(3) Which questions matter? Hiding one question at a time from the questionnaire-only model, the largest loss comes from body area (macro-F1 drops by 0.125), followed by duration (0.057), symptoms (0.053) and texture (0.043); the self-reported skin type and age hardly matter (0.012 each). Overall the questionnaire's signal is weak (macro-F1 0.381 versus 0.519 for the photo) and concentrated in a single question.</w:t>
      </w:r>
    </w:p>
    <w:p>
      <w:pPr>
        <w:jc w:val="both"/>
      </w:pPr>
      <w:r>
        <w:t>The resulting explanation is: the questionnaire carries information that differs from the photo but is weak, and its useful part largely overlaps with the cases the photo already solves. The truly complementary part is small and noisy, and about 1,270 training cases, mostly labelled by a single dermatologist, are not enough for a model to learn reliably when to rely on it. This suggests concrete directions for an app: the body-area and duration questions are the ones worth keeping, and a larger dataset or more reliable labels would be needed to obtain a measurable gain.</w:t>
      </w:r>
    </w:p>
    <w:p>
      <w:pPr>
        <w:pStyle w:val="Heading2"/>
      </w:pPr>
      <w:r>
        <w:t>4.6 Training with hidden answers (E2)</w:t>
      </w:r>
    </w:p>
    <w:p>
      <w:pPr>
        <w:jc w:val="both"/>
      </w:pPr>
      <w:r>
        <w:t>Experiment E2 addresses research question RQ2: how much the fusion model loses when answers are missing, and whether training with hidden answers makes it more robust (robustness here means that performance drops little when inputs are incomplete). The concatenation fusion model (EfficientNet-B0, weighted loss) was trained under the three regimes of Section 3.8 on the same ten seeds, and each model was tested with a share r of questions hidden (r = 0, 0.25, 0.5, 0.75, 1, on top of the naturally missing answers), with the same hidden questions for every model (</w:t>
      </w:r>
      <w:r>
        <w:rPr>
          <w:rFonts w:ascii="Courier New" w:hAnsi="Courier New" w:eastAsia="Courier New" w:cs="Courier New"/>
          <w:sz w:val="19"/>
        </w:rPr>
        <w:t>ml/run_e2_dropout.py</w:t>
      </w:r>
      <w:r>
        <w:t xml:space="preserve">; results in </w:t>
      </w:r>
      <w:r>
        <w:rPr>
          <w:rFonts w:ascii="Courier New" w:hAnsi="Courier New" w:eastAsia="Courier New" w:cs="Courier New"/>
          <w:sz w:val="19"/>
        </w:rPr>
        <w:t>ml/results/e2/</w:t>
      </w:r>
      <w:r>
        <w:t>). Table 5 shows test macro-F1.</w:t>
      </w:r>
    </w:p>
    <w:p>
      <w:pPr>
        <w:jc w:val="both"/>
      </w:pPr>
      <w:r>
        <w:t>The three regimes give practically identical results. The difference between the sampled rate and training without hiding is between +0.001 and +0.009 at every r, with 95% confidence intervals that include zero (e.g. +0.003 [-0.015, +0.020] at r = 1); likewise between the fixed regime and no hiding (+0.000 to +0.009) and between the sampled rate and the fixed regime (-0.004 to +0.002). No regime exceeds the photo-only model (differences from -0.005 to -0.020, not significant after correction, except one isolated uncorrected p = 0.049 for no hiding at r = 0.75).</w:t>
      </w:r>
    </w:p>
    <w:p>
      <w:pPr>
        <w:jc w:val="both"/>
      </w:pPr>
      <w:r>
        <w:t>Table 5. Test macro-F1 by the share r of hidden questions over ten seeds (concatenation fusion, EfficientNet-B0; mean ± standard deviation; last column: paired difference with 95% bootstrap interval).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Regime</w:t>
            </w:r>
          </w:p>
        </w:tc>
        <w:tc>
          <w:tcPr>
            <w:tcW w:type="dxa" w:w="1296"/>
          </w:tcPr>
          <w:p>
            <w:r>
              <w:rPr>
                <w:b/>
              </w:rPr>
              <w:t>r = 0</w:t>
            </w:r>
          </w:p>
        </w:tc>
        <w:tc>
          <w:tcPr>
            <w:tcW w:type="dxa" w:w="1296"/>
          </w:tcPr>
          <w:p>
            <w:r>
              <w:rPr>
                <w:b/>
              </w:rPr>
              <w:t>r = 0.25</w:t>
            </w:r>
          </w:p>
        </w:tc>
        <w:tc>
          <w:tcPr>
            <w:tcW w:type="dxa" w:w="1296"/>
          </w:tcPr>
          <w:p>
            <w:r>
              <w:rPr>
                <w:b/>
              </w:rPr>
              <w:t>r = 0.5</w:t>
            </w:r>
          </w:p>
        </w:tc>
        <w:tc>
          <w:tcPr>
            <w:tcW w:type="dxa" w:w="1296"/>
          </w:tcPr>
          <w:p>
            <w:r>
              <w:rPr>
                <w:b/>
              </w:rPr>
              <w:t>r = 0.75</w:t>
            </w:r>
          </w:p>
        </w:tc>
        <w:tc>
          <w:tcPr>
            <w:tcW w:type="dxa" w:w="1296"/>
          </w:tcPr>
          <w:p>
            <w:r>
              <w:rPr>
                <w:b/>
              </w:rPr>
              <w:t>r = 1</w:t>
            </w:r>
          </w:p>
        </w:tc>
        <w:tc>
          <w:tcPr>
            <w:tcW w:type="dxa" w:w="1296"/>
          </w:tcPr>
          <w:p>
            <w:r>
              <w:rPr>
                <w:b/>
              </w:rPr>
              <w:t>r = 1 minus r = 0</w:t>
            </w:r>
          </w:p>
        </w:tc>
      </w:tr>
      <w:tr>
        <w:tc>
          <w:tcPr>
            <w:tcW w:type="dxa" w:w="1296"/>
          </w:tcPr>
          <w:p>
            <w:r>
              <w:t>image_only</w:t>
            </w:r>
          </w:p>
        </w:tc>
        <w:tc>
          <w:tcPr>
            <w:tcW w:type="dxa" w:w="1296"/>
          </w:tcPr>
          <w:p>
            <w:r>
              <w:t>0.519 ± 0.040</w:t>
            </w:r>
          </w:p>
        </w:tc>
        <w:tc>
          <w:tcPr>
            <w:tcW w:type="dxa" w:w="1296"/>
          </w:tcPr>
          <w:p>
            <w:r>
              <w:t>0.519</w:t>
            </w:r>
          </w:p>
        </w:tc>
        <w:tc>
          <w:tcPr>
            <w:tcW w:type="dxa" w:w="1296"/>
          </w:tcPr>
          <w:p>
            <w:r>
              <w:t>0.519</w:t>
            </w:r>
          </w:p>
        </w:tc>
        <w:tc>
          <w:tcPr>
            <w:tcW w:type="dxa" w:w="1296"/>
          </w:tcPr>
          <w:p>
            <w:r>
              <w:t>0.519</w:t>
            </w:r>
          </w:p>
        </w:tc>
        <w:tc>
          <w:tcPr>
            <w:tcW w:type="dxa" w:w="1296"/>
          </w:tcPr>
          <w:p>
            <w:r>
              <w:t>0.519</w:t>
            </w:r>
          </w:p>
        </w:tc>
        <w:tc>
          <w:tcPr>
            <w:tcW w:type="dxa" w:w="1296"/>
          </w:tcPr>
          <w:p>
            <w:r>
              <w:t>—</w:t>
            </w:r>
          </w:p>
        </w:tc>
      </w:tr>
      <w:tr>
        <w:tc>
          <w:tcPr>
            <w:tcW w:type="dxa" w:w="1296"/>
          </w:tcPr>
          <w:p>
            <w:r>
              <w:t>none</w:t>
            </w:r>
          </w:p>
        </w:tc>
        <w:tc>
          <w:tcPr>
            <w:tcW w:type="dxa" w:w="1296"/>
          </w:tcPr>
          <w:p>
            <w:r>
              <w:t>0.505 ± 0.036</w:t>
            </w:r>
          </w:p>
        </w:tc>
        <w:tc>
          <w:tcPr>
            <w:tcW w:type="dxa" w:w="1296"/>
          </w:tcPr>
          <w:p>
            <w:r>
              <w:t>0.506</w:t>
            </w:r>
          </w:p>
        </w:tc>
        <w:tc>
          <w:tcPr>
            <w:tcW w:type="dxa" w:w="1296"/>
          </w:tcPr>
          <w:p>
            <w:r>
              <w:t>0.506</w:t>
            </w:r>
          </w:p>
        </w:tc>
        <w:tc>
          <w:tcPr>
            <w:tcW w:type="dxa" w:w="1296"/>
          </w:tcPr>
          <w:p>
            <w:r>
              <w:t>0.499</w:t>
            </w:r>
          </w:p>
        </w:tc>
        <w:tc>
          <w:tcPr>
            <w:tcW w:type="dxa" w:w="1296"/>
          </w:tcPr>
          <w:p>
            <w:r>
              <w:t>0.504 ± 0.035</w:t>
            </w:r>
          </w:p>
        </w:tc>
        <w:tc>
          <w:tcPr>
            <w:tcW w:type="dxa" w:w="1296"/>
          </w:tcPr>
          <w:p>
            <w:r>
              <w:t>-0.001 [-0.016, +0.015]</w:t>
            </w:r>
          </w:p>
        </w:tc>
      </w:tr>
      <w:tr>
        <w:tc>
          <w:tcPr>
            <w:tcW w:type="dxa" w:w="1296"/>
          </w:tcPr>
          <w:p>
            <w:r>
              <w:t>fixed</w:t>
            </w:r>
          </w:p>
        </w:tc>
        <w:tc>
          <w:tcPr>
            <w:tcW w:type="dxa" w:w="1296"/>
          </w:tcPr>
          <w:p>
            <w:r>
              <w:t>0.514 ± 0.040</w:t>
            </w:r>
          </w:p>
        </w:tc>
        <w:tc>
          <w:tcPr>
            <w:tcW w:type="dxa" w:w="1296"/>
          </w:tcPr>
          <w:p>
            <w:r>
              <w:t>0.508</w:t>
            </w:r>
          </w:p>
        </w:tc>
        <w:tc>
          <w:tcPr>
            <w:tcW w:type="dxa" w:w="1296"/>
          </w:tcPr>
          <w:p>
            <w:r>
              <w:t>0.511</w:t>
            </w:r>
          </w:p>
        </w:tc>
        <w:tc>
          <w:tcPr>
            <w:tcW w:type="dxa" w:w="1296"/>
          </w:tcPr>
          <w:p>
            <w:r>
              <w:t>0.508</w:t>
            </w:r>
          </w:p>
        </w:tc>
        <w:tc>
          <w:tcPr>
            <w:tcW w:type="dxa" w:w="1296"/>
          </w:tcPr>
          <w:p>
            <w:r>
              <w:t>0.505 ± 0.042</w:t>
            </w:r>
          </w:p>
        </w:tc>
        <w:tc>
          <w:tcPr>
            <w:tcW w:type="dxa" w:w="1296"/>
          </w:tcPr>
          <w:p>
            <w:r>
              <w:t>-0.010 [-0.022, +0.003]</w:t>
            </w:r>
          </w:p>
        </w:tc>
      </w:tr>
      <w:tr>
        <w:tc>
          <w:tcPr>
            <w:tcW w:type="dxa" w:w="1296"/>
          </w:tcPr>
          <w:p>
            <w:r>
              <w:t>random</w:t>
            </w:r>
          </w:p>
        </w:tc>
        <w:tc>
          <w:tcPr>
            <w:tcW w:type="dxa" w:w="1296"/>
          </w:tcPr>
          <w:p>
            <w:r>
              <w:t>0.510 ± 0.037</w:t>
            </w:r>
          </w:p>
        </w:tc>
        <w:tc>
          <w:tcPr>
            <w:tcW w:type="dxa" w:w="1296"/>
          </w:tcPr>
          <w:p>
            <w:r>
              <w:t>0.509</w:t>
            </w:r>
          </w:p>
        </w:tc>
        <w:tc>
          <w:tcPr>
            <w:tcW w:type="dxa" w:w="1296"/>
          </w:tcPr>
          <w:p>
            <w:r>
              <w:t>0.508</w:t>
            </w:r>
          </w:p>
        </w:tc>
        <w:tc>
          <w:tcPr>
            <w:tcW w:type="dxa" w:w="1296"/>
          </w:tcPr>
          <w:p>
            <w:r>
              <w:t>0.508</w:t>
            </w:r>
          </w:p>
        </w:tc>
        <w:tc>
          <w:tcPr>
            <w:tcW w:type="dxa" w:w="1296"/>
          </w:tcPr>
          <w:p>
            <w:r>
              <w:t>0.507 ± 0.039</w:t>
            </w:r>
          </w:p>
        </w:tc>
        <w:tc>
          <w:tcPr>
            <w:tcW w:type="dxa" w:w="1296"/>
          </w:tcPr>
          <w:p>
            <w:r>
              <w:t>-0.003 [-0.009, +0.003]</w:t>
            </w:r>
          </w:p>
        </w:tc>
      </w:tr>
    </w:tbl>
    <w:p>
      <w:pPr>
        <w:jc w:val="both"/>
      </w:pPr>
      <w:r>
        <w:t>The main finding is that the loss when every answer is hidden is very small even for the model trained without hiding: -0.001 [-0.016, +0.015], versus -0.010 for the fixed regime and -0.003 [-0.009, +0.003] for the sampled rate (the narrowest interval). In other words, the fusion model relies almost entirely on the photo, so it has little to lose when the questionnaire is missing. This agrees with Section 4.5 (weak questionnaire signal): answer dropout cannot protect information the model does not use. By skin-tone group (eFST, eMST), no difference against the no-hiding regime is significant after Holm correction; small groups (eFST V-VI, about 23 cases per seed; eMST 7-10, 11 cases) vary strongly between seeds and allow no conclusion. For the app, the practical consequence is that the model trained with a sampled rate can be used safely when users skip questions, but the answer to RQ2 must be worded carefully: the observed robustness comes from the questionnaire contributing little, not from training with hidden answers.</w:t>
      </w:r>
    </w:p>
    <w:p>
      <w:pPr>
        <w:pStyle w:val="Heading2"/>
      </w:pPr>
      <w:r>
        <w:t>4.7 Is the null result a method error? Positive control and stacking</w:t>
      </w:r>
    </w:p>
    <w:p>
      <w:pPr>
        <w:jc w:val="both"/>
      </w:pPr>
      <w:r>
        <w:t>Sections 4.4-4.6 show that no model gains from the questionnaire and that the fusion model does not use it at all (hiding every answer costs nothing), although the questionnaire alone is clearly above chance (macro-F1 0.381 versus 0.25 for random guessing among four categories). Before attributing the result to the data, a method error must be ruled out. A known cause in multimodal learning is that the stronger branch (here the image) comes to fit the training cases almost perfectly, so on the training data the other source looks useless and the fusion layer learns to ignore it [36]. Three further checks were run.</w:t>
      </w:r>
    </w:p>
    <w:p>
      <w:pPr>
        <w:jc w:val="both"/>
      </w:pPr>
      <w:r>
        <w:t>(1) Positive control. A positive control is a test whose correct outcome is known in advance, used to check that the method can detect it. A synthetic question was appended to the real questionnaire; its answer is the true category for a share a ('agreement') of the cases and a random category otherwise, fixed per case (</w:t>
      </w:r>
      <w:r>
        <w:rPr>
          <w:rFonts w:ascii="Courier New" w:hAnsi="Courier New" w:eastAsia="Courier New" w:cs="Courier New"/>
          <w:sz w:val="19"/>
        </w:rPr>
        <w:t>ml/analysis/fusion_positive_control.py</w:t>
      </w:r>
      <w:r>
        <w:t>; three seeds). Its errors are independent of the photo by construction, so its information is fully complementary. At a = 0.5 (question alone: macro-F1 0.50) the fusion model rises from 0.527 to 0.635 (+0.108), so the training procedure can use the questionnaire when it is informative enough: there is no implementation error. At a = 0.3, however, the question alone has macro-F1 0.380, almost exactly that of the real questionnaire, and the fusion gain is only +0.005.</w:t>
      </w:r>
    </w:p>
    <w:p>
      <w:pPr>
        <w:jc w:val="both"/>
      </w:pPr>
      <w:r>
        <w:t>(2) Cross-fitted stacking [37]. Stacking means combining the predictions of already trained models with a second, small model. So that the photo does not look more reliable than it is, the training set of each seed was split into five parts (folds) with the same category distribution; for each part, a photo-only model was trained on the other four and predicted the held-out part. Every training case thus gets an out-of-fold prediction from a model that never saw it, as honest as a test prediction. The combiner is a multinomial logistic regression (a linear model that turns its inputs into probabilities for the four categories) with balanced class weights and regularisation strength C (a penalty on large coefficients; a small C means a simpler model) chosen on validation (</w:t>
      </w:r>
      <w:r>
        <w:rPr>
          <w:rFonts w:ascii="Courier New" w:hAnsi="Courier New" w:eastAsia="Courier New" w:cs="Courier New"/>
          <w:sz w:val="19"/>
        </w:rPr>
        <w:t>ml/run_stacking.py</w:t>
      </w:r>
      <w:r>
        <w:t>; ten seeds). Four variants use exactly the same photo predictions, so their difference isolates the questionnaire's contribution: photo only, photo plus raw answers, photo plus the probabilities of a questionnaire MLP also trained out-of-fold, and questionnaire only. Unlike fusion, these models do use the questionnaire (hiding answers changes their output), but they do not gain from it (Table 6): photo plus answers -0.020 [-0.044, +0.006], photo plus MLP -0.005 [-0.020, +0.011] against the photo-only combiner. The photo-only combiner is slightly below the E1 photo-only model (-0.023) because each fold model sees only 80% of the training cases.</w:t>
      </w:r>
    </w:p>
    <w:p>
      <w:pPr>
        <w:jc w:val="both"/>
      </w:pPr>
      <w:r>
        <w:t>Table 6. Method checks (test, macro-F1; stacking over ten seeds, paired differences against the photo-only combiner with 95% bootstrap interval, or ± standard deviation for the synthetic question).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Model</w:t>
            </w:r>
          </w:p>
        </w:tc>
        <w:tc>
          <w:tcPr>
            <w:tcW w:type="dxa" w:w="2268"/>
          </w:tcPr>
          <w:p>
            <w:r>
              <w:rPr>
                <w:b/>
              </w:rPr>
              <w:t>Macro-F1</w:t>
            </w:r>
          </w:p>
        </w:tc>
        <w:tc>
          <w:tcPr>
            <w:tcW w:type="dxa" w:w="2268"/>
          </w:tcPr>
          <w:p>
            <w:r>
              <w:rPr>
                <w:b/>
              </w:rPr>
              <w:t>Difference</w:t>
            </w:r>
          </w:p>
        </w:tc>
        <w:tc>
          <w:tcPr>
            <w:tcW w:type="dxa" w:w="2268"/>
          </w:tcPr>
          <w:p>
            <w:r>
              <w:rPr>
                <w:b/>
              </w:rPr>
              <w:t>Seeds better</w:t>
            </w:r>
          </w:p>
        </w:tc>
      </w:tr>
      <w:tr>
        <w:tc>
          <w:tcPr>
            <w:tcW w:type="dxa" w:w="2268"/>
          </w:tcPr>
          <w:p>
            <w:r>
              <w:t>Positive control, fusion + synthetic a = 0.5 (3 seeds)</w:t>
            </w:r>
          </w:p>
        </w:tc>
        <w:tc>
          <w:tcPr>
            <w:tcW w:type="dxa" w:w="2268"/>
          </w:tcPr>
          <w:p>
            <w:r>
              <w:t>0.635 ± 0.051</w:t>
            </w:r>
          </w:p>
        </w:tc>
        <w:tc>
          <w:tcPr>
            <w:tcW w:type="dxa" w:w="2268"/>
          </w:tcPr>
          <w:p>
            <w:r>
              <w:t>+0.108 vs photo</w:t>
            </w:r>
          </w:p>
        </w:tc>
        <w:tc>
          <w:tcPr>
            <w:tcW w:type="dxa" w:w="2268"/>
          </w:tcPr>
          <w:p>
            <w:r>
              <w:t>3/3</w:t>
            </w:r>
          </w:p>
        </w:tc>
      </w:tr>
      <w:tr>
        <w:tc>
          <w:tcPr>
            <w:tcW w:type="dxa" w:w="2268"/>
          </w:tcPr>
          <w:p>
            <w:r>
              <w:t>Positive control, fusion + synthetic a = 0.3 (3 seeds)</w:t>
            </w:r>
          </w:p>
        </w:tc>
        <w:tc>
          <w:tcPr>
            <w:tcW w:type="dxa" w:w="2268"/>
          </w:tcPr>
          <w:p>
            <w:r>
              <w:t>0.532 ± 0.024</w:t>
            </w:r>
          </w:p>
        </w:tc>
        <w:tc>
          <w:tcPr>
            <w:tcW w:type="dxa" w:w="2268"/>
          </w:tcPr>
          <w:p>
            <w:r>
              <w:t>+0.005 vs photo</w:t>
            </w:r>
          </w:p>
        </w:tc>
        <w:tc>
          <w:tcPr>
            <w:tcW w:type="dxa" w:w="2268"/>
          </w:tcPr>
          <w:p>
            <w:r>
              <w:t>2/3</w:t>
            </w:r>
          </w:p>
        </w:tc>
      </w:tr>
      <w:tr>
        <w:tc>
          <w:tcPr>
            <w:tcW w:type="dxa" w:w="2268"/>
          </w:tcPr>
          <w:p>
            <w:r>
              <w:t>Stacking: photo only</w:t>
            </w:r>
          </w:p>
        </w:tc>
        <w:tc>
          <w:tcPr>
            <w:tcW w:type="dxa" w:w="2268"/>
          </w:tcPr>
          <w:p>
            <w:r>
              <w:t>0.496 ± 0.041</w:t>
            </w:r>
          </w:p>
        </w:tc>
        <w:tc>
          <w:tcPr>
            <w:tcW w:type="dxa" w:w="2268"/>
          </w:tcPr>
          <w:p>
            <w:r>
              <w:t>reference</w:t>
            </w:r>
          </w:p>
        </w:tc>
        <w:tc>
          <w:tcPr>
            <w:tcW w:type="dxa" w:w="2268"/>
          </w:tcPr>
          <w:p>
            <w:r>
              <w:t>—</w:t>
            </w:r>
          </w:p>
        </w:tc>
      </w:tr>
      <w:tr>
        <w:tc>
          <w:tcPr>
            <w:tcW w:type="dxa" w:w="2268"/>
          </w:tcPr>
          <w:p>
            <w:r>
              <w:t>Stacking: photo + raw answers</w:t>
            </w:r>
          </w:p>
        </w:tc>
        <w:tc>
          <w:tcPr>
            <w:tcW w:type="dxa" w:w="2268"/>
          </w:tcPr>
          <w:p>
            <w:r>
              <w:t>0.476 ± 0.038</w:t>
            </w:r>
          </w:p>
        </w:tc>
        <w:tc>
          <w:tcPr>
            <w:tcW w:type="dxa" w:w="2268"/>
          </w:tcPr>
          <w:p>
            <w:r>
              <w:t>-0.020 [-0.044, +0.006]</w:t>
            </w:r>
          </w:p>
        </w:tc>
        <w:tc>
          <w:tcPr>
            <w:tcW w:type="dxa" w:w="2268"/>
          </w:tcPr>
          <w:p>
            <w:r>
              <w:t>2/10</w:t>
            </w:r>
          </w:p>
        </w:tc>
      </w:tr>
      <w:tr>
        <w:tc>
          <w:tcPr>
            <w:tcW w:type="dxa" w:w="2268"/>
          </w:tcPr>
          <w:p>
            <w:r>
              <w:t>Stacking: photo + questionnaire MLP</w:t>
            </w:r>
          </w:p>
        </w:tc>
        <w:tc>
          <w:tcPr>
            <w:tcW w:type="dxa" w:w="2268"/>
          </w:tcPr>
          <w:p>
            <w:r>
              <w:t>0.491 ± 0.031</w:t>
            </w:r>
          </w:p>
        </w:tc>
        <w:tc>
          <w:tcPr>
            <w:tcW w:type="dxa" w:w="2268"/>
          </w:tcPr>
          <w:p>
            <w:r>
              <w:t>-0.005 [-0.020, +0.011]</w:t>
            </w:r>
          </w:p>
        </w:tc>
        <w:tc>
          <w:tcPr>
            <w:tcW w:type="dxa" w:w="2268"/>
          </w:tcPr>
          <w:p>
            <w:r>
              <w:t>4/10</w:t>
            </w:r>
          </w:p>
        </w:tc>
      </w:tr>
      <w:tr>
        <w:tc>
          <w:tcPr>
            <w:tcW w:type="dxa" w:w="2268"/>
          </w:tcPr>
          <w:p>
            <w:r>
              <w:t>Stacking: photo + synthetic a = 0.3</w:t>
            </w:r>
          </w:p>
        </w:tc>
        <w:tc>
          <w:tcPr>
            <w:tcW w:type="dxa" w:w="2268"/>
          </w:tcPr>
          <w:p>
            <w:r>
              <w:t>0.513 ± 0.048</w:t>
            </w:r>
          </w:p>
        </w:tc>
        <w:tc>
          <w:tcPr>
            <w:tcW w:type="dxa" w:w="2268"/>
          </w:tcPr>
          <w:p>
            <w:r>
              <w:t>+0.017 ± 0.036</w:t>
            </w:r>
          </w:p>
        </w:tc>
        <w:tc>
          <w:tcPr>
            <w:tcW w:type="dxa" w:w="2268"/>
          </w:tcPr>
          <w:p>
            <w:r>
              <w:t>6/10</w:t>
            </w:r>
          </w:p>
        </w:tc>
      </w:tr>
      <w:tr>
        <w:tc>
          <w:tcPr>
            <w:tcW w:type="dxa" w:w="2268"/>
          </w:tcPr>
          <w:p>
            <w:r>
              <w:t>Stacking: photo + synthetic a = 0.5</w:t>
            </w:r>
          </w:p>
        </w:tc>
        <w:tc>
          <w:tcPr>
            <w:tcW w:type="dxa" w:w="2268"/>
          </w:tcPr>
          <w:p>
            <w:r>
              <w:t>0.577 ± 0.047</w:t>
            </w:r>
          </w:p>
        </w:tc>
        <w:tc>
          <w:tcPr>
            <w:tcW w:type="dxa" w:w="2268"/>
          </w:tcPr>
          <w:p>
            <w:r>
              <w:t>+0.081 ± 0.046</w:t>
            </w:r>
          </w:p>
        </w:tc>
        <w:tc>
          <w:tcPr>
            <w:tcW w:type="dxa" w:w="2268"/>
          </w:tcPr>
          <w:p>
            <w:r>
              <w:t>10/10</w:t>
            </w:r>
          </w:p>
        </w:tc>
      </w:tr>
    </w:tbl>
    <w:p>
      <w:pPr>
        <w:jc w:val="both"/>
      </w:pPr>
      <w:r>
        <w:t>(3) Ceiling of the gain. The synthetic question was also put into the stacking combiner, on the same out-of-fold predictions (</w:t>
      </w:r>
      <w:r>
        <w:rPr>
          <w:rFonts w:ascii="Courier New" w:hAnsi="Courier New" w:eastAsia="Courier New" w:cs="Courier New"/>
          <w:sz w:val="19"/>
        </w:rPr>
        <w:t>ml/analysis/stacking_synthetic_ceiling.py</w:t>
      </w:r>
      <w:r>
        <w:t>; ten seeds). This is the most favourable case possible: a question of a given strength whose errors are fully independent of the photo. It gives the ceiling of the gain: at the strength of the real questionnaire (a = 0.3, question alone 0.363) the gain is only +0.017 ± 0.036 (better in 6 of 10 seeds); at a = 0.4 (0.417) +0.039 (8/10), at a = 0.5 (0.485) +0.081 (10/10).</w:t>
      </w:r>
    </w:p>
    <w:p>
      <w:pPr>
        <w:jc w:val="both"/>
      </w:pPr>
      <w:r>
        <w:t>The conclusion is that the null result does not come from a method error but from the data. A question as strong as the SCIN questionnaire can add, even in the ideal case of full independence from the photo, at most about 0.02 macro-F1, and differences of that size cannot be detected with about 270 test cases per seed. The real answers are weaker than this ideal, because they mostly fail on the same cases as the photo (Section 4.5). A measurable gain would need more informative questions (e.g. a macro-F1 of at least 0.42 on their own and little correlation with the photo) or a much larger dataset. For the paper this is a useful result: it explains why the questionnaire does not help and what a questionnaire would have to achieve in order to help.</w:t>
      </w:r>
    </w:p>
    <w:p>
      <w:pPr>
        <w:pStyle w:val="Heading2"/>
      </w:pPr>
      <w:r>
        <w:t>4.8 Full Fitzpatrick17k set: external test and pooled training (E7)</w:t>
      </w:r>
    </w:p>
    <w:p>
      <w:pPr>
        <w:jc w:val="both"/>
      </w:pPr>
      <w:r>
        <w:t>The full Fitzpatrick17k image set [19] (16,577 files) was received from the authors under an obligation to delete it when the research ends. With it, all 4,012 images that map to the target categories can be used (before, only 619 could still be downloaded). The images are not redistributed and do not appear in the app, the code repository or the paper; only aggregate values are reported. Two things were done: the complete external test of the SCIN model and a new experiment, E7, that checks whether the extra images make the model more accurate.</w:t>
      </w:r>
    </w:p>
    <w:p>
      <w:pPr>
        <w:jc w:val="both"/>
      </w:pPr>
      <w:r>
        <w:t>Complete external test (zero-shot, i.e. without any retraining). The ten E1 photo-only models (one per seed) reach a macro-F1 of 0.393 ± 0.016 on the 4,012 images, against 0.519 on the SCIN test split. The drop reflects domain shift: clinical atlas photos differ from SCIN smartphone photos, and normal_other is dominated here by psoriasis. Performance falls with skin tone: macro-F1 0.412 for eFST I-II, 0.371 for III-IV and 0.312 for V-VI. Among the categories, redness_rosacea is the weakest (F1 0.237).</w:t>
      </w:r>
    </w:p>
    <w:p>
      <w:pPr>
        <w:jc w:val="both"/>
      </w:pPr>
      <w:r>
        <w:t>Duplicates and photos of the same patient. Fitzpatrick17k contains many near-duplicates [38]: the same photo re-uploaded, resized, mirrored or cropped, and several photos of the same patient. If one lands in training and another in the test set, the test score is too high (data leakage). Two checks link images (</w:t>
      </w:r>
      <w:r>
        <w:rPr>
          <w:rFonts w:ascii="Courier New" w:hAnsi="Courier New" w:eastAsia="Courier New" w:cs="Courier New"/>
          <w:sz w:val="19"/>
        </w:rPr>
        <w:t>ml/splits/make_fitzpatrick_splits.py</w:t>
      </w:r>
      <w:r>
        <w:t xml:space="preserve">). (a) A 256-bit difference hash (dHash): the image is turned to greyscale and shrunk to 17 x 16 pixels, and each bit says whether a pixel is brighter than its right neighbour. The Hamming distance (number of differing bits, 0-256) measures how different two hashes are; two images are linked at a distance of at most 20. (b) The cosine similarity (between -1 and 1; 1 means the same direction) of ImageNet features of an EfficientNet-B0 with no skin training; two images are linked at a similarity of at least 0.88. The threshold was chosen by visual inspection of sampled pairs: above 0.88 nearly every pair showed the same patient or lesion, below 0.87 unrelated photos became common. Linked images form groups (union-find, a structure that merges groups as links appear): 588 pairs, 903 images in groups of two or more. For each seed, </w:t>
      </w:r>
      <w:r>
        <w:rPr>
          <w:rFonts w:ascii="Courier New" w:hAnsi="Courier New" w:eastAsia="Courier New" w:cs="Courier New"/>
          <w:sz w:val="19"/>
        </w:rPr>
        <w:t>StratifiedGroupKFold</w:t>
      </w:r>
      <w:r>
        <w:t xml:space="preserve"> (a five-part split that keeps groups whole and the category mix balanced) puts about 20% of the groups in the Fitzpatrick17k test fold (803 images); the remaining 3,209 images may be used for training.</w:t>
      </w:r>
    </w:p>
    <w:p>
      <w:pPr>
        <w:jc w:val="both"/>
      </w:pPr>
      <w:r>
        <w:t>Experiment E7 (</w:t>
      </w:r>
      <w:r>
        <w:rPr>
          <w:rFonts w:ascii="Courier New" w:hAnsi="Courier New" w:eastAsia="Courier New" w:cs="Courier New"/>
          <w:sz w:val="19"/>
        </w:rPr>
        <w:t>ml/run_fitz_pooling.py</w:t>
      </w:r>
      <w:r>
        <w:t>) compares the E1 photo-only model with two ways of using the extra images, with the same network (EfficientNet-B0), the same staged training and the same ten seeds: (1) data pooling: training on SCIN and the Fitzpatrick17k training fold together, with class weights computed on the pooled set; (2) sequential transfer: training on Fitzpatrick17k first, then fine-tuning (continuing training at a low learning rate) on SCIN. Early stopping always uses SCIN validation, because the app's target is smartphone photos. Every model is tested on the SCIN test split (paired with E1 on the same cases) and on the seed's Fitzpatrick17k test fold, which it never saw. The experiment is research-only: the model shipped in the app stays SCIN-only.</w:t>
      </w:r>
    </w:p>
    <w:p>
      <w:pPr>
        <w:jc w:val="both"/>
      </w:pPr>
      <w:r>
        <w:t>Table 7. Experiment E7 (ten seeds; mean ± standard deviation; paired difference against the photo-only model with 95% bootstrap interval and number of seeds better).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Model</w:t>
            </w:r>
          </w:p>
        </w:tc>
        <w:tc>
          <w:tcPr>
            <w:tcW w:type="dxa" w:w="1814"/>
          </w:tcPr>
          <w:p>
            <w:r>
              <w:rPr>
                <w:b/>
              </w:rPr>
              <w:t>SCIN macro-F1</w:t>
            </w:r>
          </w:p>
        </w:tc>
        <w:tc>
          <w:tcPr>
            <w:tcW w:type="dxa" w:w="1814"/>
          </w:tcPr>
          <w:p>
            <w:r>
              <w:rPr>
                <w:b/>
              </w:rPr>
              <w:t>SCIN difference</w:t>
            </w:r>
          </w:p>
        </w:tc>
        <w:tc>
          <w:tcPr>
            <w:tcW w:type="dxa" w:w="1814"/>
          </w:tcPr>
          <w:p>
            <w:r>
              <w:rPr>
                <w:b/>
              </w:rPr>
              <w:t>Fitzpatrick17k macro-F1</w:t>
            </w:r>
          </w:p>
        </w:tc>
        <w:tc>
          <w:tcPr>
            <w:tcW w:type="dxa" w:w="1814"/>
          </w:tcPr>
          <w:p>
            <w:r>
              <w:rPr>
                <w:b/>
              </w:rPr>
              <w:t>Fitzpatrick17k difference</w:t>
            </w:r>
          </w:p>
        </w:tc>
      </w:tr>
      <w:tr>
        <w:tc>
          <w:tcPr>
            <w:tcW w:type="dxa" w:w="1814"/>
          </w:tcPr>
          <w:p>
            <w:r>
              <w:t>Photo only, SCIN (E1; zero-shot on Fitzpatrick17k)</w:t>
            </w:r>
          </w:p>
        </w:tc>
        <w:tc>
          <w:tcPr>
            <w:tcW w:type="dxa" w:w="1814"/>
          </w:tcPr>
          <w:p>
            <w:r>
              <w:t>0.519 ± 0.040</w:t>
            </w:r>
          </w:p>
        </w:tc>
        <w:tc>
          <w:tcPr>
            <w:tcW w:type="dxa" w:w="1814"/>
          </w:tcPr>
          <w:p>
            <w:r>
              <w:t>reference</w:t>
            </w:r>
          </w:p>
        </w:tc>
        <w:tc>
          <w:tcPr>
            <w:tcW w:type="dxa" w:w="1814"/>
          </w:tcPr>
          <w:p>
            <w:r>
              <w:t>0.410 ± 0.022</w:t>
            </w:r>
          </w:p>
        </w:tc>
        <w:tc>
          <w:tcPr>
            <w:tcW w:type="dxa" w:w="1814"/>
          </w:tcPr>
          <w:p>
            <w:r>
              <w:t>reference</w:t>
            </w:r>
          </w:p>
        </w:tc>
      </w:tr>
      <w:tr>
        <w:tc>
          <w:tcPr>
            <w:tcW w:type="dxa" w:w="1814"/>
          </w:tcPr>
          <w:p>
            <w:r>
              <w:t>Data pooling (SCIN + Fitzpatrick17k)</w:t>
            </w:r>
          </w:p>
        </w:tc>
        <w:tc>
          <w:tcPr>
            <w:tcW w:type="dxa" w:w="1814"/>
          </w:tcPr>
          <w:p>
            <w:r>
              <w:t>0.484 ± 0.071</w:t>
            </w:r>
          </w:p>
        </w:tc>
        <w:tc>
          <w:tcPr>
            <w:tcW w:type="dxa" w:w="1814"/>
          </w:tcPr>
          <w:p>
            <w:r>
              <w:t>-0.035 [-0.071, -0.002], 2/10</w:t>
            </w:r>
          </w:p>
        </w:tc>
        <w:tc>
          <w:tcPr>
            <w:tcW w:type="dxa" w:w="1814"/>
          </w:tcPr>
          <w:p>
            <w:r>
              <w:t>0.626 ± 0.062</w:t>
            </w:r>
          </w:p>
        </w:tc>
        <w:tc>
          <w:tcPr>
            <w:tcW w:type="dxa" w:w="1814"/>
          </w:tcPr>
          <w:p>
            <w:r>
              <w:t>+0.216 [+0.202, +0.231], 10/10</w:t>
            </w:r>
          </w:p>
        </w:tc>
      </w:tr>
      <w:tr>
        <w:tc>
          <w:tcPr>
            <w:tcW w:type="dxa" w:w="1814"/>
          </w:tcPr>
          <w:p>
            <w:r>
              <w:t>Sequential transfer (Fitzpatrick17k, then SCIN)</w:t>
            </w:r>
          </w:p>
        </w:tc>
        <w:tc>
          <w:tcPr>
            <w:tcW w:type="dxa" w:w="1814"/>
          </w:tcPr>
          <w:p>
            <w:r>
              <w:t>0.496 ± 0.051</w:t>
            </w:r>
          </w:p>
        </w:tc>
        <w:tc>
          <w:tcPr>
            <w:tcW w:type="dxa" w:w="1814"/>
          </w:tcPr>
          <w:p>
            <w:r>
              <w:t>-0.024 [-0.049, +0.001], 3/10</w:t>
            </w:r>
          </w:p>
        </w:tc>
        <w:tc>
          <w:tcPr>
            <w:tcW w:type="dxa" w:w="1814"/>
          </w:tcPr>
          <w:p>
            <w:r>
              <w:t>0.464 ± 0.049</w:t>
            </w:r>
          </w:p>
        </w:tc>
        <w:tc>
          <w:tcPr>
            <w:tcW w:type="dxa" w:w="1814"/>
          </w:tcPr>
          <w:p>
            <w:r>
              <w:t>+0.053 [+0.042, +0.065], 9/10</w:t>
            </w:r>
          </w:p>
        </w:tc>
      </w:tr>
    </w:tbl>
    <w:p>
      <w:pPr>
        <w:jc w:val="both"/>
      </w:pPr>
      <w:r>
        <w:t>The results (Table 7) answer no to the question whether the extra images help the app's target. On the SCIN test split, pooling lowers macro-F1 by 0.035 [-0.071, -0.002] (better in only 2 of 10 seeds; paired t-test p = 0.016), and balanced accuracy (mean per-category recall) falls from 0.610 to 0.499. Sequential transfer lowers macro-F1 by 0.024 [-0.049, +0.001] (3/10 seeds). By category, pooling raises eczema_dermatitis F1 (+0.042) but lowers redness_rosacea (-0.107) and acne (-0.057). On the Fitzpatrick17k fold, in contrast, pooling raises macro-F1 from 0.410 (zero-shot) to 0.626 (+0.216, 10/10 seeds), and the skin-tone gap almost disappears (I-II 0.633, III-IV 0.615, V-VI 0.606, against 0.429 / 0.380 / 0.353 zero-shot). Sequential transfer keeps only part of this gain (0.464).</w:t>
      </w:r>
    </w:p>
    <w:p>
      <w:pPr>
        <w:jc w:val="both"/>
      </w:pPr>
      <w:r>
        <w:t>The interpretation is that more images help only when they resemble the photos the model will be used on. Clinical atlas photos differ in framing, lighting and category composition (normal_other means mostly psoriasis), and the pooled model adapts its decisions to them at the expense of smartphone photos. The large gain on Fitzpatrick17k is an in-domain gain (training and test from the same source), not an improvement of the app model. Two conclusions follow for the paper: the SCIN-only model remains the chosen one, and the skin-tone gap seen zero-shot is largely a domain-shift effect, since it nearly vanishes once the model sees data from the same source.</w:t>
      </w:r>
    </w:p>
    <w:p>
      <w:pPr>
        <w:pStyle w:val="Heading1"/>
      </w:pPr>
      <w:r>
        <w:t>5. Discussion</w:t>
      </w:r>
    </w:p>
    <w:p>
      <w:pPr>
        <w:jc w:val="both"/>
      </w:pPr>
      <w:r>
        <w:rPr>
          <w:highlight w:val="yellow"/>
        </w:rPr>
        <w:t>[To be written: interpretation of results, limitations, implications.]</w:t>
      </w:r>
    </w:p>
    <w:p>
      <w:pPr>
        <w:pStyle w:val="Heading1"/>
      </w:pPr>
      <w:r>
        <w:t>6. Conclusion</w:t>
      </w:r>
    </w:p>
    <w:p>
      <w:pPr>
        <w:jc w:val="both"/>
      </w:pPr>
      <w:r>
        <w:rPr>
          <w:highlight w:val="yellow"/>
        </w:rPr>
        <w:t>[To be written.]</w:t>
      </w:r>
    </w:p>
    <w:p>
      <w:pPr>
        <w:pStyle w:val="Heading1"/>
      </w:pPr>
      <w:r>
        <w:t>References</w:t>
      </w:r>
    </w:p>
    <w:p>
      <w:pPr>
        <w:spacing w:after="120" w:line="276" w:lineRule="auto"/>
        <w:ind w:left="567" w:hanging="567"/>
        <w:jc w:val="left"/>
      </w:pPr>
      <w:r>
        <w:t>[1] Google Research, SCIN: Skin Condition Image Network, GitHub repository. https://github.com/google-research-datasets/scin</w:t>
      </w:r>
    </w:p>
    <w:p>
      <w:pPr>
        <w:spacing w:after="120" w:line="276" w:lineRule="auto"/>
        <w:ind w:left="567" w:hanging="567"/>
        <w:jc w:val="left"/>
      </w:pPr>
      <w:r>
        <w:t>[2] Google Research, SCIN Data Use License. https://github.com/google-research-datasets/scin/blob/main/LICENSE</w:t>
      </w:r>
    </w:p>
    <w:p>
      <w:pPr>
        <w:spacing w:after="120" w:line="276" w:lineRule="auto"/>
        <w:ind w:left="567" w:hanging="567"/>
        <w:jc w:val="left"/>
      </w:pPr>
      <w:r>
        <w:t>[3] Google Research, SCIN dataset schema documentation. https://github.com/google-research-datasets/scin/blob/main/dataset_schema.md</w:t>
      </w:r>
    </w:p>
    <w:p>
      <w:pPr>
        <w:spacing w:after="120" w:line="276" w:lineRule="auto"/>
        <w:ind w:left="567" w:hanging="567"/>
        <w:jc w:val="left"/>
      </w:pPr>
      <w:r>
        <w:t>[4] T. B. Fitzpatrick, The validity and practicality of sun-reactive skin types I through VI, Archives of Dermatology 124(6), 1988, 869–871. https://doi.org/10.1001/archderm.1988.01670060015008</w:t>
      </w:r>
    </w:p>
    <w:p>
      <w:pPr>
        <w:spacing w:after="120" w:line="276" w:lineRule="auto"/>
        <w:ind w:left="567" w:hanging="567"/>
        <w:jc w:val="left"/>
      </w:pPr>
      <w:r>
        <w:t>[5] Google Research, Monk Skin Tone Scale. https://skintone.google/</w:t>
      </w:r>
    </w:p>
    <w:p>
      <w:pPr>
        <w:spacing w:after="120" w:line="276" w:lineRule="auto"/>
        <w:ind w:left="567" w:hanging="567"/>
        <w:jc w:val="left"/>
      </w:pPr>
      <w:r>
        <w:t>[6] M. Tan, Q. V. Le, EfficientNet: Rethinking Model Scaling for Convolutional Neural Networks, ICML 2019. https://arxiv.org/abs/1905.11946</w:t>
      </w:r>
    </w:p>
    <w:p>
      <w:pPr>
        <w:spacing w:after="120" w:line="276" w:lineRule="auto"/>
        <w:ind w:left="567" w:hanging="567"/>
        <w:jc w:val="left"/>
      </w:pPr>
      <w:r>
        <w:t>[7] R. Wightman, PyTorch Image Models (timm), GitHub repository. https://github.com/huggingface/pytorch-image-models</w:t>
      </w:r>
    </w:p>
    <w:p>
      <w:pPr>
        <w:spacing w:after="120" w:line="276" w:lineRule="auto"/>
        <w:ind w:left="567" w:hanging="567"/>
        <w:jc w:val="left"/>
      </w:pPr>
      <w:r>
        <w:t>[8] I. Loshchilov, F. Hutter, Decoupled Weight Decay Regularization, ICLR 2019. https://arxiv.org/abs/1711.05101</w:t>
      </w:r>
    </w:p>
    <w:p>
      <w:pPr>
        <w:spacing w:after="120" w:line="276" w:lineRule="auto"/>
        <w:ind w:left="567" w:hanging="567"/>
        <w:jc w:val="left"/>
      </w:pPr>
      <w:r>
        <w:t>[9] I. Loshchilov, F. Hutter, SGDR: Stochastic Gradient Descent with Warm Restarts, ICLR 2017. https://arxiv.org/abs/1608.03983</w:t>
      </w:r>
    </w:p>
    <w:p>
      <w:pPr>
        <w:spacing w:after="120" w:line="276" w:lineRule="auto"/>
        <w:ind w:left="567" w:hanging="567"/>
        <w:jc w:val="left"/>
      </w:pPr>
      <w:r>
        <w:t>[10] T.-Y. Lin, P. Goyal, R. Girshick, K. He, P. Dollár, Focal Loss for Dense Object Detection, ICCV 2017. https://arxiv.org/abs/1708.02002</w:t>
      </w:r>
    </w:p>
    <w:p>
      <w:pPr>
        <w:spacing w:after="120" w:line="276" w:lineRule="auto"/>
        <w:ind w:left="567" w:hanging="567"/>
        <w:jc w:val="left"/>
      </w:pPr>
      <w:r>
        <w:t>[11] B. Efron, R. J. Tibshirani, An Introduction to the Bootstrap, Chapman &amp; Hall/CRC, 1993. https://doi.org/10.1201/9780429246593</w:t>
      </w:r>
    </w:p>
    <w:p>
      <w:pPr>
        <w:spacing w:after="120" w:line="276" w:lineRule="auto"/>
        <w:ind w:left="567" w:hanging="567"/>
        <w:jc w:val="left"/>
      </w:pPr>
      <w:r>
        <w:t>[12] A. Howard, M. Sandler, G. Chu, L.-C. Chen, B. Chen, M. Tan, W. Wang, Y. Zhu, R. Pang, V. Vasudevan, Q. V. Le, H. Adam, Searching for MobileNetV3, ICCV 2019. https://arxiv.org/abs/1905.02244</w:t>
      </w:r>
    </w:p>
    <w:p>
      <w:pPr>
        <w:spacing w:after="120" w:line="276" w:lineRule="auto"/>
        <w:ind w:left="567" w:hanging="567"/>
        <w:jc w:val="left"/>
      </w:pPr>
      <w:r>
        <w:t>[13] C. Guo, G. Pleiss, Y. Sun, K. Q. Weinberger, On Calibration of Modern Neural Networks, ICML 2017. https://arxiv.org/abs/1706.04599</w:t>
      </w:r>
    </w:p>
    <w:p>
      <w:pPr>
        <w:spacing w:after="120" w:line="276" w:lineRule="auto"/>
        <w:ind w:left="567" w:hanging="567"/>
        <w:jc w:val="left"/>
      </w:pPr>
      <w:r>
        <w:t>[14] Y. Geifman, R. El-Yaniv, Selective Classification for Deep Neural Networks, NeurIPS 2017. https://arxiv.org/abs/1705.08500</w:t>
      </w:r>
    </w:p>
    <w:p>
      <w:pPr>
        <w:spacing w:after="120" w:line="276" w:lineRule="auto"/>
        <w:ind w:left="567" w:hanging="567"/>
        <w:jc w:val="left"/>
      </w:pPr>
      <w:r>
        <w:t>[15] S. Sagawa, P. W. Koh, T. B. Hashimoto, P. Liang, Distributionally Robust Neural Networks for Group Shifts, ICLR 2020. https://arxiv.org/abs/1911.08731</w:t>
      </w:r>
    </w:p>
    <w:p>
      <w:pPr>
        <w:spacing w:after="120" w:line="276" w:lineRule="auto"/>
        <w:ind w:left="567" w:hanging="567"/>
        <w:jc w:val="left"/>
      </w:pPr>
      <w:r>
        <w:t>[16] M. Buda, A. Maki, M. A. Mazurowski, A systematic study of the class imbalance problem in convolutional neural networks, Neural Networks 106, 2018. https://arxiv.org/abs/1710.05381</w:t>
      </w:r>
    </w:p>
    <w:p>
      <w:pPr>
        <w:spacing w:after="120" w:line="276" w:lineRule="auto"/>
        <w:ind w:left="567" w:hanging="567"/>
        <w:jc w:val="left"/>
      </w:pPr>
      <w:r>
        <w:t>[17] PyTorch documentation, torch.utils.data.WeightedRandomSampler. https://docs.pytorch.org/docs/stable/data.html#torch.utils.data.WeightedRandomSampler</w:t>
      </w:r>
    </w:p>
    <w:p>
      <w:pPr>
        <w:spacing w:after="120" w:line="276" w:lineRule="auto"/>
        <w:ind w:left="567" w:hanging="567"/>
        <w:jc w:val="left"/>
      </w:pPr>
      <w:r>
        <w:t>[18] R. Daneshjou et al., Disparities in dermatology AI performance on a diverse, curated clinical image set, Science Advances 8(32), 2022. https://doi.org/10.1126/sciadv.abq6147</w:t>
      </w:r>
    </w:p>
    <w:p>
      <w:pPr>
        <w:spacing w:after="120" w:line="276" w:lineRule="auto"/>
        <w:ind w:left="567" w:hanging="567"/>
        <w:jc w:val="left"/>
      </w:pPr>
      <w:r>
        <w:t>[19] M. Groh et al., Evaluating Deep Neural Networks Trained on Clinical Images in Dermatology with the Fitzpatrick 17k Dataset, CVPR Workshops 2021. https://arxiv.org/abs/2104.09957</w:t>
      </w:r>
    </w:p>
    <w:p>
      <w:pPr>
        <w:spacing w:after="120" w:line="276" w:lineRule="auto"/>
        <w:ind w:left="567" w:hanging="567"/>
        <w:jc w:val="left"/>
      </w:pPr>
      <w:r>
        <w:t>[20] G. Alain, Y. Bengio, Understanding intermediate layers using linear classifier probes, arXiv 2016. https://arxiv.org/abs/1610.01644</w:t>
      </w:r>
    </w:p>
    <w:p>
      <w:pPr>
        <w:spacing w:after="120" w:line="276" w:lineRule="auto"/>
        <w:ind w:left="567" w:hanging="567"/>
        <w:jc w:val="left"/>
      </w:pPr>
      <w:r>
        <w:t>[21] A. Radford et al., Learning Transferable Visual Models From Natural Language Supervision, ICML 2021. https://arxiv.org/abs/2103.00020</w:t>
      </w:r>
    </w:p>
    <w:p>
      <w:pPr>
        <w:spacing w:after="120" w:line="276" w:lineRule="auto"/>
        <w:ind w:left="567" w:hanging="567"/>
        <w:jc w:val="left"/>
      </w:pPr>
      <w:r>
        <w:t>[22] S. Yan et al., A multimodal vision foundation model for clinical dermatology (PanDerm), Nature Medicine 2025. https://www.nature.com/articles/s41591-025-03747-y</w:t>
      </w:r>
    </w:p>
    <w:p>
      <w:pPr>
        <w:spacing w:after="120" w:line="276" w:lineRule="auto"/>
        <w:ind w:left="567" w:hanging="567"/>
        <w:jc w:val="left"/>
      </w:pPr>
      <w:r>
        <w:t>[23] S. Yan et al., Derm1M: A Million-scale Vision-Language Dataset Aligned with Clinical Ontology Knowledge for Dermatology (DermLIP), ICCV 2025. https://arxiv.org/abs/2503.14911</w:t>
      </w:r>
    </w:p>
    <w:p>
      <w:pPr>
        <w:spacing w:after="120" w:line="276" w:lineRule="auto"/>
        <w:ind w:left="567" w:hanging="567"/>
        <w:jc w:val="left"/>
      </w:pPr>
      <w:r>
        <w:t>[24] I. Goodfellow, Y. Bengio, A. Courville, Deep Learning, MIT Press 2016, chapter 6 (deep feedforward networks). https://www.deeplearningbook.org/</w:t>
      </w:r>
    </w:p>
    <w:p>
      <w:pPr>
        <w:spacing w:after="120" w:line="276" w:lineRule="auto"/>
        <w:ind w:left="567" w:hanging="567"/>
        <w:jc w:val="left"/>
      </w:pPr>
      <w:r>
        <w:t>[25] J. Arevalo, T. Solorio, M. Montes-y-Gómez, F. A. González, Gated Multimodal Units for Information Fusion, ICLR Workshop 2017. https://arxiv.org/abs/1702.01992</w:t>
      </w:r>
    </w:p>
    <w:p>
      <w:pPr>
        <w:spacing w:after="120" w:line="276" w:lineRule="auto"/>
        <w:ind w:left="567" w:hanging="567"/>
        <w:jc w:val="left"/>
      </w:pPr>
      <w:r>
        <w:t>[26] E. Perez, F. Strub, H. de Vries, V. Dumoulin, A. Courville, FiLM: Visual Reasoning with a General Conditioning Layer, AAAI 2018. https://arxiv.org/abs/1709.07871</w:t>
      </w:r>
    </w:p>
    <w:p>
      <w:pPr>
        <w:spacing w:after="120" w:line="276" w:lineRule="auto"/>
        <w:ind w:left="567" w:hanging="567"/>
        <w:jc w:val="left"/>
      </w:pPr>
      <w:r>
        <w:t>[27] Student (W. S. Gosset), The Probable Error of a Mean, Biometrika 6(1), 1908. https://doi.org/10.1093/biomet/6.1.1</w:t>
      </w:r>
    </w:p>
    <w:p>
      <w:pPr>
        <w:spacing w:after="120" w:line="276" w:lineRule="auto"/>
        <w:ind w:left="567" w:hanging="567"/>
        <w:jc w:val="left"/>
      </w:pPr>
      <w:r>
        <w:t>[28] R. Roelofs, N. Cain, J. Shlens, M. C. Mozer, Mitigating Bias in Calibration Error Estimation, AISTATS 2022. https://arxiv.org/abs/2012.08668</w:t>
      </w:r>
    </w:p>
    <w:p>
      <w:pPr>
        <w:spacing w:after="120" w:line="276" w:lineRule="auto"/>
        <w:ind w:left="567" w:hanging="567"/>
        <w:jc w:val="left"/>
      </w:pPr>
      <w:r>
        <w:t>[29] C. Genest, J. V. Zidek, Combining Probability Distributions: A Critique and an Annotated Bibliography, Statistical Science 1(1), 1986. https://doi.org/10.1214/ss/1177013825</w:t>
      </w:r>
    </w:p>
    <w:p>
      <w:pPr>
        <w:spacing w:after="120" w:line="276" w:lineRule="auto"/>
        <w:ind w:left="567" w:hanging="567"/>
        <w:jc w:val="left"/>
      </w:pPr>
      <w:r>
        <w:t>[30] S. Holm, A Simple Sequentially Rejective Multiple Test Procedure, Scandinavian Journal of Statistics 6(2), 1979. https://www.jstor.org/stable/4615733</w:t>
      </w:r>
    </w:p>
    <w:p>
      <w:pPr>
        <w:spacing w:after="120" w:line="276" w:lineRule="auto"/>
        <w:ind w:left="567" w:hanging="567"/>
        <w:jc w:val="left"/>
      </w:pPr>
      <w:r>
        <w:t>[31] F. Wilcoxon, Individual Comparisons by Ranking Methods, Biometrics Bulletin 1(6), 1945. https://doi.org/10.2307/3001968</w:t>
      </w:r>
    </w:p>
    <w:p>
      <w:pPr>
        <w:spacing w:after="120" w:line="276" w:lineRule="auto"/>
        <w:ind w:left="567" w:hanging="567"/>
        <w:jc w:val="left"/>
      </w:pPr>
      <w:r>
        <w:t>[32] A. Ward, J. Li, J. Wang et al., Crowdsourcing Dermatology Images with Google Search Ads: Creating a Real-World Skin Condition Dataset, JAMA Network Open 2024. https://arxiv.org/abs/2402.18545</w:t>
      </w:r>
    </w:p>
    <w:p>
      <w:pPr>
        <w:spacing w:after="120" w:line="276" w:lineRule="auto"/>
        <w:ind w:left="567" w:hanging="567"/>
        <w:jc w:val="left"/>
      </w:pPr>
      <w:r>
        <w:t>[33] T. Fawcett, An introduction to ROC analysis, Pattern Recognition Letters 27(8), 2006. https://doi.org/10.1016/j.patrec.2005.10.010</w:t>
      </w:r>
    </w:p>
    <w:p>
      <w:pPr>
        <w:spacing w:after="120" w:line="276" w:lineRule="auto"/>
        <w:ind w:left="567" w:hanging="567"/>
        <w:jc w:val="left"/>
      </w:pPr>
      <w:r>
        <w:t>[34] N. Srivastava, G. Hinton, A. Krizhevsky, I. Sutskever, R. Salakhutdinov, Dropout: A Simple Way to Prevent Neural Networks from Overfitting, Journal of Machine Learning Research 15, 2014. https://jmlr.org/papers/v15/srivastava14a.html</w:t>
      </w:r>
    </w:p>
    <w:p>
      <w:pPr>
        <w:spacing w:after="120" w:line="276" w:lineRule="auto"/>
        <w:ind w:left="567" w:hanging="567"/>
        <w:jc w:val="left"/>
      </w:pPr>
      <w:r>
        <w:t>[35] N. Neverova, C. Wolf, G. Taylor, F. Nebout, ModDrop: Adaptive Multi-Modal Gesture Recognition, IEEE Transactions on Pattern Analysis and Machine Intelligence 38(8), 2016. https://doi.org/10.1109/TPAMI.2015.2461544</w:t>
      </w:r>
    </w:p>
    <w:p>
      <w:pPr>
        <w:spacing w:after="120" w:line="276" w:lineRule="auto"/>
        <w:ind w:left="567" w:hanging="567"/>
        <w:jc w:val="left"/>
      </w:pPr>
      <w:r>
        <w:t>[36] W. Wang, D. Tran, M. Feiszli, What Makes Training Multi-Modal Classification Networks Hard?, CVPR 2020. https://arxiv.org/abs/1905.12681</w:t>
      </w:r>
    </w:p>
    <w:p>
      <w:pPr>
        <w:spacing w:after="120" w:line="276" w:lineRule="auto"/>
        <w:ind w:left="567" w:hanging="567"/>
        <w:jc w:val="left"/>
      </w:pPr>
      <w:r>
        <w:t>[37] D. H. Wolpert, Stacked generalization, Neural Networks 5(2), 1992. https://doi.org/10.1016/S0893-6080(05)80023-1</w:t>
      </w:r>
    </w:p>
    <w:p>
      <w:pPr>
        <w:spacing w:after="120" w:line="276" w:lineRule="auto"/>
        <w:ind w:left="567" w:hanging="567"/>
        <w:jc w:val="left"/>
      </w:pPr>
      <w:r>
        <w:t>[38] K. Abhishek, A. Jain, G. Hamarneh, Investigating the Quality of DermaMNIST and Fitzpatrick17k Dermatological Image Datasets, Scientific Data 12, 196, 2025. https://doi.org/10.1038/s41597-025-04382-5</w:t>
      </w:r>
    </w:p>
    <w:sectPr w:rsidR="00FC693F" w:rsidRPr="0006063C" w:rsidSect="00034616">
      <w:footerReference w:type="default" r:id="rId9"/>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jc w:val="both"/>
    </w:pPr>
    <w:rPr>
      <w:rFonts w:ascii="Times New Roman" w:hAnsi="Times New Roman" w:eastAsia="Times New Roman" w:cs="Times New Roman"/>
      <w:b w:val="0"/>
      <w:i w:val="0"/>
      <w:color w:val="000000"/>
      <w:sz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360" w:line="276" w:lineRule="auto"/>
      <w:jc w:val="left"/>
      <w:outlineLvl w:val="0"/>
    </w:pPr>
    <w:rPr>
      <w:rFonts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60" w:line="276" w:lineRule="auto"/>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276" w:lineRule="auto"/>
      <w:jc w:val="left"/>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jc w:val="left"/>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qFormat/>
    <w:pPr>
      <w:spacing w:before="40" w:after="40" w:line="240" w:lineRule="auto"/>
      <w:jc w:val="left"/>
    </w:pPr>
    <w:rPr>
      <w:rFonts w:ascii="Times New Roman" w:hAnsi="Times New Roman" w:eastAsia="Times New Roman" w:cs="Times New Roman"/>
      <w:b w:val="0"/>
      <w:i w:val="0"/>
      <w:color w:val="000000"/>
      <w:sz w:val="19"/>
    </w:rPr>
  </w:style>
  <w:style w:type="paragraph" w:customStyle="1" w:styleId="TableSource">
    <w:name w:val="Table Source"/>
    <w:basedOn w:val="Normal"/>
    <w:qFormat/>
    <w:pPr>
      <w:spacing w:before="60" w:after="200" w:line="240" w:lineRule="auto"/>
      <w:jc w:val="left"/>
    </w:pPr>
    <w:rPr>
      <w:rFonts w:ascii="Times New Roman" w:hAnsi="Times New Roman" w:eastAsia="Times New Roman" w:cs="Times New Roman"/>
      <w:b w:val="0"/>
      <w:i/>
      <w:color w:val="000000"/>
      <w:sz w:val="17"/>
    </w:rPr>
  </w:style>
  <w:style w:type="paragraph" w:customStyle="1" w:styleId="FrontHeading">
    <w:name w:val="Front Heading"/>
    <w:basedOn w:val="Normal"/>
    <w:qFormat/>
    <w:pPr>
      <w:keepNext/>
      <w:pageBreakBefore/>
      <w:spacing w:before="0" w:after="360" w:line="276" w:lineRule="auto"/>
      <w:jc w:val="center"/>
    </w:pPr>
    <w:rPr>
      <w:rFonts w:ascii="Times New Roman" w:hAnsi="Times New Roman" w:eastAsia="Times New Roman" w:cs="Times New Roman"/>
      <w:b/>
      <w:i w:val="0"/>
      <w:color w:val="000000"/>
      <w:sz w:val="30"/>
    </w:rPr>
  </w:style>
  <w:style w:type="paragraph" w:customStyle="1" w:styleId="toc1">
    <w:name w:val="toc 1"/>
    <w:basedOn w:val="Normal"/>
    <w:qFormat/>
    <w:pPr>
      <w:tabs>
        <w:tab w:pos="9071" w:val="right" w:leader="dot"/>
      </w:tabs>
      <w:spacing w:before="120" w:after="0" w:line="276" w:lineRule="auto"/>
      <w:ind w:left="0"/>
      <w:jc w:val="left"/>
    </w:pPr>
    <w:rPr>
      <w:rFonts w:ascii="Times New Roman" w:hAnsi="Times New Roman" w:eastAsia="Times New Roman" w:cs="Times New Roman"/>
      <w:b/>
      <w:i w:val="0"/>
      <w:color w:val="000000"/>
      <w:sz w:val="22"/>
    </w:rPr>
  </w:style>
  <w:style w:type="paragraph" w:customStyle="1" w:styleId="toc2">
    <w:name w:val="toc 2"/>
    <w:basedOn w:val="Normal"/>
    <w:qFormat/>
    <w:pPr>
      <w:tabs>
        <w:tab w:pos="9071" w:val="right" w:leader="dot"/>
      </w:tabs>
      <w:spacing w:before="0" w:after="0" w:line="276" w:lineRule="auto"/>
      <w:ind w:left="340"/>
      <w:jc w:val="left"/>
    </w:pPr>
    <w:rPr>
      <w:rFonts w:ascii="Times New Roman" w:hAnsi="Times New Roman" w:eastAsia="Times New Roman" w:cs="Times New Roman"/>
      <w:b w:val="0"/>
      <w:i w:val="0"/>
      <w:color w:val="000000"/>
      <w:sz w:val="22"/>
    </w:rPr>
  </w:style>
  <w:style w:type="paragraph" w:customStyle="1" w:styleId="toc3">
    <w:name w:val="toc 3"/>
    <w:basedOn w:val="Normal"/>
    <w:qFormat/>
    <w:pPr>
      <w:tabs>
        <w:tab w:pos="9071" w:val="right" w:leader="dot"/>
      </w:tabs>
      <w:spacing w:before="0" w:after="0" w:line="276" w:lineRule="auto"/>
      <w:ind w:left="680"/>
      <w:jc w:val="left"/>
    </w:pPr>
    <w:rPr>
      <w:rFonts w:ascii="Times New Roman" w:hAnsi="Times New Roman" w:eastAsia="Times New Roman" w:cs="Times New Roman"/>
      <w:b w:val="0"/>
      <w:i w:val="0"/>
      <w:color w:val="000000"/>
      <w:sz w:val="22"/>
    </w:rPr>
  </w:style>
  <w:style w:type="paragraph" w:customStyle="1" w:styleId="tableoffigures">
    <w:name w:val="table of figures"/>
    <w:basedOn w:val="Normal"/>
    <w:qFormat/>
    <w:pPr>
      <w:tabs>
        <w:tab w:pos="9071" w:val="right" w:leader="dot"/>
      </w:tabs>
      <w:spacing w:before="0" w:after="60" w:line="276" w:lineRule="auto"/>
      <w:jc w:val="left"/>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Questionnaire-Augmented Skin-Concern Classification under Missing Answers: A Skin-Tone-Stratified Study</dc:title>
  <dc:subject/>
  <dc:creator>Daria Giotina</dc:creator>
  <cp:keywords/>
  <dc:description>generated by python-docx</dc:description>
  <cp:lastModifiedBy/>
  <cp:revision>1</cp:revision>
  <dcterms:created xsi:type="dcterms:W3CDTF">2013-12-23T23:15:00Z</dcterms:created>
  <dcterms:modified xsi:type="dcterms:W3CDTF">2013-12-23T23:15:00Z</dcterms:modified>
  <cp:category/>
</cp:coreProperties>
</file>