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și WBS</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2"/>
      </w:pPr>
      <w:r>
        <w:t>8.8 Setul complet Fitzpatrick17k: test extern și antrenare combinată (E7)</w:t>
      </w:r>
    </w:p>
    <w:p>
      <w:pPr>
        <w:ind w:firstLine="709"/>
        <w:jc w:val="both"/>
      </w:pPr>
      <w:r>
        <w:t>Setul complet de imagini Fitzpatrick17k [20] (16.577 de fișiere) a fost primit de la autori, cu obligația de a fi șters după încheierea cercetării. Cu el, toate cele 4.012 imagini care corespund categoriilor țintă pot fi folosite (înainte doar 619 se mai puteau descărca). Imaginile nu sunt redistribuite și nu apar în aplicație, în depozitul de cod sau în lucrare; se raportează doar valori agregate. Au fost făcute două lucruri: testul extern complet al modelului SCIN și un experiment nou, E7, care verifică dacă imaginile suplimentare fac modelul mai precis.</w:t>
      </w:r>
    </w:p>
    <w:p>
      <w:pPr>
        <w:ind w:firstLine="709"/>
        <w:jc w:val="both"/>
      </w:pPr>
      <w:r>
        <w:t>Testul extern complet (zero-shot, adică fără nicio reantrenare). Cele zece modele doar cu imagine din E1 (câte unul pe seed) obțin pe cele 4.012 imagini un macro-F1 de 0,393 ± 0,016, față de 0,519 pe testul SCIN. Scăderea arată schimbarea de domeniu: fotografiile clinice din atlase diferă de fotografiile făcute cu telefonul în SCIN, iar categoria normal_other este dominată aici de psoriazis. Performanța scade odată cu tonul pielii: macro-F1 0,412 pentru eFST I–II, 0,371 pentru III–IV și 0,312 pentru V–VI. Pe categorii, redness_rosacea este cea mai slabă (F1 0,237).</w:t>
      </w:r>
    </w:p>
    <w:p>
      <w:pPr>
        <w:ind w:firstLine="709"/>
        <w:jc w:val="both"/>
      </w:pPr>
      <w:r>
        <w:t>Duplicate și fotografii ale aceluiași pacient. Fitzpatrick17k conține multe aproape-duplicate [44]: aceeași fotografie reîncărcată, redimensionată, oglindită sau decupată, și mai multe fotografii ale aceluiași pacient. Dacă una ajunge în antrenare și alta în test, scorul de test este prea mare (scurgere de date, data leakage). Două verificări leagă imaginile (</w:t>
      </w:r>
      <w:r>
        <w:rPr>
          <w:rFonts w:ascii="Courier New" w:hAnsi="Courier New" w:eastAsia="Courier New" w:cs="Courier New"/>
          <w:sz w:val="21"/>
        </w:rPr>
        <w:t>ml/splits/make_fitzpatrick_splits.py</w:t>
      </w:r>
      <w:r>
        <w:t xml:space="preserve">). (a) Hash-ul de diferență (dHash) pe 256 de biți: imaginea este transformată în tonuri de gri și micșorată la 17 × 16 pixeli, iar fiecare bit spune dacă un pixel este mai luminos decât vecinul din dreapta. Distanța Hamming (numărul de biți diferiți, 0–256) măsoară cât de diferite sunt două hash-uri; două imagini sunt legate dacă distanța este cel mult 20. (b) Similaritatea cosinus (între -1 și 1; 1 înseamnă aceeași direcție) a trăsăturilor ImageNet ale unei rețele EfficientNet-B0 fără antrenare pe piele; două imagini sunt legate dacă similaritatea este cel puțin 0,88. Pragul a fost ales prin inspecția vizuală a unor perechi: peste 0,88 aproape toate perechile arătau același pacient sau aceeași leziune, sub 0,87 apăreau des fotografii fără legătură. Imaginile legate formează grupuri (prin union-find, o structură care unește grupurile pe măsură ce apar legături): 588 de perechi, 903 imagini în grupuri de cel puțin două. Pentru fiecare seed, </w:t>
      </w:r>
      <w:r>
        <w:rPr>
          <w:rFonts w:ascii="Courier New" w:hAnsi="Courier New" w:eastAsia="Courier New" w:cs="Courier New"/>
          <w:sz w:val="21"/>
        </w:rPr>
        <w:t>StratifiedGroupKFold</w:t>
      </w:r>
      <w:r>
        <w:t xml:space="preserve"> (împărțire în cinci părți care păstrează grupurile întregi și proporția categoriilor) pune circa 20% din grupuri în setul de test Fitzpatrick17k (803 imagini), restul de 3.209 imagini putând fi folosite la antrenare.</w:t>
      </w:r>
    </w:p>
    <w:p>
      <w:pPr>
        <w:ind w:firstLine="709"/>
        <w:jc w:val="both"/>
      </w:pPr>
      <w:r>
        <w:t>Experimentul E7 (</w:t>
      </w:r>
      <w:r>
        <w:rPr>
          <w:rFonts w:ascii="Courier New" w:hAnsi="Courier New" w:eastAsia="Courier New" w:cs="Courier New"/>
          <w:sz w:val="21"/>
        </w:rPr>
        <w:t>ml/run_fitz_pooling.py</w:t>
      </w:r>
      <w:r>
        <w:t>) compară modelul doar cu imagine din E1 cu două moduri de a folosi imaginile suplimentare, cu aceeași rețea (EfficientNet-B0), aceeași antrenare în etape și aceleași zece seed-uri: (1) reunirea datelor (data pooling): antrenarea pe SCIN și pe partea de antrenare Fitzpatrick17k împreună, cu ponderi de clasă calculate pe setul reunit; (2) transfer secvențial: antrenarea întâi doar pe Fitzpatrick17k, apoi ajustarea fină (fine-tuning, continuarea antrenării cu o rată de învățare mică) pe SCIN. Oprirea timpurie folosește mereu validarea SCIN, deoarece ținta aplicației sunt fotografiile de telefon. Fiecare model este testat pe testul SCIN (pereche cu E1, pe aceleași cazuri) și pe setul de test Fitzpatrick17k al seed-ului, pe care nu l-a văzut. Experimentul este doar de cercetare: modelul livrat în aplicație rămâne antrenat numai pe SCIN.</w:t>
      </w:r>
    </w:p>
    <w:p>
      <w:pPr>
        <w:ind w:firstLine="709"/>
        <w:jc w:val="both"/>
      </w:pPr>
      <w:r>
        <w:t>Tabelul 8.8. Experimentul E7 (zece seed-uri; medie ± abatere standard; diferență pereche față de modelul doar cu fotografie,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SCIN</w:t>
            </w:r>
          </w:p>
        </w:tc>
        <w:tc>
          <w:tcPr>
            <w:tcW w:type="dxa" w:w="1814"/>
          </w:tcPr>
          <w:p>
            <w:r>
              <w:rPr>
                <w:b/>
              </w:rPr>
              <w:t>Diferență SCIN</w:t>
            </w:r>
          </w:p>
        </w:tc>
        <w:tc>
          <w:tcPr>
            <w:tcW w:type="dxa" w:w="1814"/>
          </w:tcPr>
          <w:p>
            <w:r>
              <w:rPr>
                <w:b/>
              </w:rPr>
              <w:t>Macro-F1 Fitzpatrick17k</w:t>
            </w:r>
          </w:p>
        </w:tc>
        <w:tc>
          <w:tcPr>
            <w:tcW w:type="dxa" w:w="1814"/>
          </w:tcPr>
          <w:p>
            <w:r>
              <w:rPr>
                <w:b/>
              </w:rPr>
              <w:t>Diferență Fitzpatrick17k</w:t>
            </w:r>
          </w:p>
        </w:tc>
      </w:tr>
      <w:tr>
        <w:tc>
          <w:tcPr>
            <w:tcW w:type="dxa" w:w="1814"/>
          </w:tcPr>
          <w:p>
            <w:r>
              <w:t>Doar fotografie, SCIN (E1; zero-shot pe Fitzpatrick17k)</w:t>
            </w:r>
          </w:p>
        </w:tc>
        <w:tc>
          <w:tcPr>
            <w:tcW w:type="dxa" w:w="1814"/>
          </w:tcPr>
          <w:p>
            <w:r>
              <w:t>0,519 ± 0,040</w:t>
            </w:r>
          </w:p>
        </w:tc>
        <w:tc>
          <w:tcPr>
            <w:tcW w:type="dxa" w:w="1814"/>
          </w:tcPr>
          <w:p>
            <w:r>
              <w:t>referință</w:t>
            </w:r>
          </w:p>
        </w:tc>
        <w:tc>
          <w:tcPr>
            <w:tcW w:type="dxa" w:w="1814"/>
          </w:tcPr>
          <w:p>
            <w:r>
              <w:t>0,410 ± 0,022</w:t>
            </w:r>
          </w:p>
        </w:tc>
        <w:tc>
          <w:tcPr>
            <w:tcW w:type="dxa" w:w="1814"/>
          </w:tcPr>
          <w:p>
            <w:r>
              <w:t>referință</w:t>
            </w:r>
          </w:p>
        </w:tc>
      </w:tr>
      <w:tr>
        <w:tc>
          <w:tcPr>
            <w:tcW w:type="dxa" w:w="1814"/>
          </w:tcPr>
          <w:p>
            <w:r>
              <w:t>Reunirea datelor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Transfer secvențial (Fitzpatrick17k, apoi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ind w:firstLine="709"/>
        <w:jc w:val="both"/>
      </w:pPr>
      <w:r>
        <w:t>Rezultatele (Tabelul 8.8) răspund negativ la întrebarea dacă imaginile suplimentare ajută ținta aplicației. Pe testul SCIN, reunirea datelor scade macro-F1 cu 0,035 [-0,071; -0,002] (mai bună doar în 2 din 10 seed-uri; t-test pereche p = 0,016), iar acuratețea echilibrată (media recall-ului pe categorii) scade de la 0,610 la 0,499. Transferul secvențial scade macro-F1 cu 0,024 [-0,049; +0,001] (3/10 seed-uri). Pe categorii, reunirea crește F1 pentru eczema_dermatitis (+0,042) dar îl scade pentru redness_rosacea (-0,107) și acne (-0,057). Pe setul Fitzpatrick17k, în schimb, reunirea crește macro-F1 de la 0,410 (zero-shot) la 0,626 (+0,216, 10/10 seed-uri), iar diferența dintre tonuri aproape dispare (I–II 0,633; III–IV 0,615; V–VI 0,606, față de 0,429 / 0,380 / 0,353 zero-shot). Transferul secvențial păstrează doar o parte din acest câștig (0,464).</w:t>
      </w:r>
    </w:p>
    <w:p>
      <w:pPr>
        <w:ind w:firstLine="709"/>
        <w:jc w:val="both"/>
      </w:pPr>
      <w:r>
        <w:t>Interpretarea este că mai multe imagini ajută doar dacă seamănă cu fotografiile pe care va fi folosit modelul. Fotografiile clinice din atlase au altă încadrare, altă lumină și o altă compoziție a categoriilor (normal_other înseamnă mai ales psoriazis), iar modelul reunit își adaptează deciziile la ele, în detrimentul fotografiilor de telefon. Câștigul mare pe Fitzpatrick17k este un câștig în același domeniu (antrenare și test din aceeași sursă), nu o îmbunătățire a modelului aplicației. Pentru lucrare rezultă două concluzii: modelul SCIN rămâne cel ales, iar decalajul pe tonuri de piele observat zero-shot ține în mare parte de schimbarea de domeniu, deoarece dispare aproape complet când modelul vede date din aceeași sursă.</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și WBS</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(managementul proiectului, cercetarea și cerințele, proiectarea, componenta ML, backend-ul, aplicația mobilă, testarea, articolul, teza și livrarea aplicației), iar nivelul 3 sunt cele 44 pachete de lucru. Un pachet de lucru este elementul cel mai de jos al WBS-ului, pentru care efortul se estimează, se atribuie unei persoane și se verifică printr-un rezultat clar. Codul fiecărui element începe cu codul părintelui (de exemplu 1.4 → 1.4.3), iar pachetele respectă regula 8/80 (între 8 și 80 de ore de efort). Efortul total estimat este de 1256 de ore, dintre care 260 pentru componenta ML. WBS-ul respectă regula 100%: ramurile acoperă tot lucrul din enunț, inclusiv managementul proiectului, iar fiecare lucru apare o singură dată (de exemplu, testele unitare aparțin pachetului componentei testate, iar ramura de testare conține doar testele de integrare, end-to-end, de securitate și beta). Diagrama a fost realizată în PlantUML [43], iar culoarea pachetelor arată starea lor la 15.10.2026.</w:t>
      </w:r>
    </w:p>
    <w:p>
      <w:pPr>
        <w:ind w:firstLine="0"/>
        <w:jc w:val="center"/>
      </w:pPr>
      <w:r>
        <w:drawing>
          <wp:inline xmlns:a="http://schemas.openxmlformats.org/drawingml/2006/main" xmlns:pic="http://schemas.openxmlformats.org/drawingml/2006/picture">
            <wp:extent cx="5760000" cy="1508468"/>
            <wp:docPr id="3" name="Picture 3"/>
            <wp:cNvGraphicFramePr>
              <a:graphicFrameLocks noChangeAspect="1"/>
            </wp:cNvGraphicFramePr>
            <a:graphic>
              <a:graphicData uri="http://schemas.openxmlformats.org/drawingml/2006/picture">
                <pic:pic>
                  <pic:nvPicPr>
                    <pic:cNvPr id="0" name="wbs.png"/>
                    <pic:cNvPicPr/>
                  </pic:nvPicPr>
                  <pic:blipFill>
                    <a:blip r:embed="rId17"/>
                    <a:stretch>
                      <a:fillRect/>
                    </a:stretch>
                  </pic:blipFill>
                  <pic:spPr>
                    <a:xfrm>
                      <a:off x="0" y="0"/>
                      <a:ext cx="5760000" cy="1508468"/>
                    </a:xfrm>
                    <a:prstGeom prst="rect"/>
                  </pic:spPr>
                </pic:pic>
              </a:graphicData>
            </a:graphic>
          </wp:inline>
        </w:drawing>
      </w:r>
    </w:p>
    <w:p>
      <w:pPr>
        <w:pStyle w:val="Caption"/>
        <w:jc w:val="center"/>
      </w:pPr>
      <w:r>
        <w:t>Figura A.1. Structura de descompunere a lucrărilor (WBS) a proiectului, cu efortul estimat pe fiecare element (verde = realizat, galben = în lucru, alb = planificat). Versiunea la scară mare este docs/diagrams/wbs.svg.</w:t>
      </w:r>
    </w:p>
    <w:p>
      <w:pPr>
        <w:ind w:firstLine="709"/>
        <w:jc w:val="both"/>
      </w:pPr>
      <w:r>
        <w:t>Dicționarul WBS conține fișele a patru pachete de lucru (1.4.3, 1.4.4, 1.5.1 și 1.6.2), fiecare cu descrierea lucrului, criteriile de acceptare, responsabilul după matricea RACI (R = execută, A = răspunde, C = consultat, I = informat), efortul, dependențele și riscurile. Pentru pachetul 1.6.2 (fluxul de analiză a pielii, 48 de ore) au fost derivate șapte activități, a căror sumă este egală cu efortul pachetului; abia la acest nivel apar verbele și ordinea lucrului, care trec apoi în calendarul proiectului (diagrama Gantt).</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PlantUML, Work Breakdown Structure (WBS) diagram, documentație. https://plantuml.com/wbs-diagram</w:t>
      </w:r>
    </w:p>
    <w:p>
      <w:pPr>
        <w:spacing w:after="120" w:line="276" w:lineRule="auto"/>
        <w:ind w:left="567" w:hanging="567"/>
        <w:jc w:val="left"/>
      </w:pPr>
      <w:r>
        <w:t>[44] K. Abhishek, A. Jain, G. Hamarneh, Investigating the Quality of DermaMNIST and Fitzpatrick17k Dermatological Image Datasets, Scientific Data 12, 196, 2025. https://doi.org/10.1038/s41597-025-04382-5</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