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[To be written once results are available: background and objective, data and methods, main results, conclusion.]</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The image branch is EfficientNet-B0 [6] from the timm library [7] with weights pretrained on ImageNet (transfer learning: the network starts from what it already learned on a large image set and is retrained on SCIN). The questionnaire branch is a small network with one layer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The outputs of both branches are concatenated and passed to a final layer that scores each of the four categories. A photo-only model, without the questionnaire branch, is trained as a baseline.</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(e.g. 44 redness_rosacea cases versus 1,068 eczema_dermatitis), the loss (the error measure that training minimises) is cross-entropy weighted inversely to class frequency. The optimiser is AdamW [8] with learning rate 3e-4 and cosine decay [9], for 15 epochs, with mixed precision on GPU.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pStyle w:val="Heading2"/>
      </w:pPr>
      <w:r>
        <w:t>3.10 External test sets and linear probe</w:t>
      </w:r>
    </w:p>
    <w:p>
      <w:pPr>
        <w:jc w:val="both"/>
      </w:pPr>
      <w:r>
        <w:t>To check whether the SCIN-trained photo-only model also works on photos from other sources, it is tested without any retraining (external, zero-shot evaluation) on two public sets: DDI (Diverse Dermatology Images) [18], 656 clinical images confirmed by biopsy (microscopic examination of a tissue sample), grouped into Fitzpatrick I-II, III-IV and V-VI, and Fitzpatrick17k [19], 16,577 images from online dermatology atlases with 114 diagnoses and Fitzpatrick type 1-6. Neither has a questionnaire, so only the photo model is tested. The difference between the training and test sources (other cameras, framing and diseases) is called domain shift; the drop in performance on these sets shows how much the model depends on the particulars of SCIN.</w:t>
      </w:r>
    </w:p>
    <w:p>
      <w:pPr>
        <w:jc w:val="both"/>
      </w:pPr>
      <w:r>
        <w:t xml:space="preserve">External diagnoses are mapped to the four target categories with the same </w:t>
      </w:r>
      <w:r>
        <w:rPr>
          <w:rFonts w:ascii="Courier New" w:hAnsi="Courier New" w:eastAsia="Courier New" w:cs="Courier New"/>
          <w:sz w:val="19"/>
        </w:rPr>
        <w:t>label_map.yaml</w:t>
      </w:r>
      <w:r>
        <w:t xml:space="preserve">, after normalisation (lower case, hyphen read as a space), plus a short per-dataset list of synonyms (e.g. 'acne vulgaris' -&gt; acne, 'rhinophyma' -&gt; redness_rosacea). Every row gets a status written to a report: kept, non-target category (e.g. cancers, which are </w:t>
      </w:r>
      <w:r>
        <w:rPr>
          <w:rFonts w:ascii="Courier New" w:hAnsi="Courier New" w:eastAsia="Courier New" w:cs="Courier New"/>
          <w:sz w:val="19"/>
        </w:rPr>
        <w:t>excluded</w:t>
      </w:r>
      <w:r>
        <w:t>), unmapped (unknown diagnosis, never guessed), wrong label according to the Fitzpatrick17k quality check, or missing image; only kept rows are evaluated. In Fitzpatrick17k, 4,012 images match the target categories (normal_other 1,892, eczema_dermatitis 1,009, acne 857, redness_rosacea 254), but here normal_other is dominated by psoriasis, so the category's composition differs from SCIN. A practical limitation: most Fitzpatrick17k image URLs (the DermaAmin atlas) no longer work, and the full set is obtained from the authors through a request form. Images are not redistributed (CC BY-NC-SA 3.0 for Fitzpatrick17k; Stanford AIMI terms for DDI). DDI tones 12 / 34 / 56 are treated as eFST groups I-II / III-IV / V-VI, and the predictions of all five models (one per seed) are evaluated with the same protocol as on SCIN.</w:t>
      </w:r>
    </w:p>
    <w:p>
      <w:pPr>
        <w:jc w:val="both"/>
      </w:pPr>
      <w:r>
        <w:t xml:space="preserve">As the baseline for experiment E5 we use a linear probe [20]. A foundation model is a large network pretrained on very many images whose representations can be reused for many tasks; in dermatology, examples are PanDerm [22] and DermLIP [23]. The network stays frozen (its weights do not change): for every SCIN case its feature vector, the list of numbers by which the network describes the image, is computed once, and only a linear layer is trained on top, which is equivalent to multinomial logistic regression. Features are standardised (subtracting the mean and dividing by the standard deviation, both computed on the training set only), the loss is class-weighted cross-entropy, and an L2 penalty (the sum of squared weights times a constant) keeps the weights from growing too large; the constant is chosen on validation from 0 to 100. Linear-probe evaluation is the standard way to compare representations [21]: if a simple probe on a foundation model matches the fully fine-tuned network, the advantage comes from the representation, not the training. </w:t>
      </w:r>
      <w:r>
        <w:rPr>
          <w:rFonts w:ascii="Courier New" w:hAnsi="Courier New" w:eastAsia="Courier New" w:cs="Courier New"/>
          <w:sz w:val="19"/>
        </w:rPr>
        <w:t>ml/foundation_probe.py</w:t>
      </w:r>
      <w:r>
        <w:t xml:space="preserve"> accepts any timm, OpenCLIP or Hugging Face model, so PanDerm and DermLIP weights can be used without code changes.</w:t>
      </w:r>
    </w:p>
    <w:p>
      <w:pPr>
        <w:pStyle w:val="Heading1"/>
      </w:pPr>
      <w:r>
        <w:t>4. Results</w:t>
      </w:r>
    </w:p>
    <w:p>
      <w:pPr>
        <w:jc w:val="both"/>
      </w:pPr>
      <w:r>
        <w:rPr>
          <w:highlight w:val="yellow"/>
        </w:rPr>
        <w:t>[To be written once experiments are complete.]</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p>
      <w:pPr>
        <w:spacing w:after="120" w:line="276" w:lineRule="auto"/>
        <w:ind w:left="567" w:hanging="567"/>
        <w:jc w:val="left"/>
      </w:pPr>
      <w:r>
        <w:t>[18] R. Daneshjou et al., Disparities in dermatology AI performance on a diverse, curated clinical image set, Science Advances 8(32), 2022. https://doi.org/10.1126/sciadv.abq6147</w:t>
      </w:r>
    </w:p>
    <w:p>
      <w:pPr>
        <w:spacing w:after="120" w:line="276" w:lineRule="auto"/>
        <w:ind w:left="567" w:hanging="567"/>
        <w:jc w:val="left"/>
      </w:pPr>
      <w:r>
        <w:t>[19] M. Groh et al., Evaluating Deep Neural Networks Trained on Clinical Images in Dermatology with the Fitzpatrick 17k Dataset, CVPR Workshops 2021. https://arxiv.org/abs/2104.09957</w:t>
      </w:r>
    </w:p>
    <w:p>
      <w:pPr>
        <w:spacing w:after="120" w:line="276" w:lineRule="auto"/>
        <w:ind w:left="567" w:hanging="567"/>
        <w:jc w:val="left"/>
      </w:pPr>
      <w:r>
        <w:t>[20] G. Alain, Y. Bengio, Understanding intermediate layers using linear classifier probes, arXiv 2016. https://arxiv.org/abs/1610.01644</w:t>
      </w:r>
    </w:p>
    <w:p>
      <w:pPr>
        <w:spacing w:after="120" w:line="276" w:lineRule="auto"/>
        <w:ind w:left="567" w:hanging="567"/>
        <w:jc w:val="left"/>
      </w:pPr>
      <w:r>
        <w:t>[21] A. Radford et al., Learning Transferable Visual Models From Natural Language Supervision, ICML 2021. https://arxiv.org/abs/2103.00020</w:t>
      </w:r>
    </w:p>
    <w:p>
      <w:pPr>
        <w:spacing w:after="120" w:line="276" w:lineRule="auto"/>
        <w:ind w:left="567" w:hanging="567"/>
        <w:jc w:val="left"/>
      </w:pPr>
      <w:r>
        <w:t>[22] S. Yan et al., A multimodal vision foundation model for clinical dermatology (PanDerm), Nature Medicine 2025. https://www.nature.com/articles/s41591-025-03747-y</w:t>
      </w:r>
    </w:p>
    <w:p>
      <w:pPr>
        <w:spacing w:after="120" w:line="276" w:lineRule="auto"/>
        <w:ind w:left="567" w:hanging="567"/>
        <w:jc w:val="left"/>
      </w:pPr>
      <w:r>
        <w:t>[23] S. Yan et al., Derm1M: A Million-scale Vision-Language Dataset Aligned with Clinical Ontology Knowledge for Dermatology (DermLIP), ICCV 2025. https://arxiv.org/abs/2503.14911</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