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Ramura de imagine este rețeaua EfficientNet-B0 [7], preluată din biblioteca timm [8] cu ponderi preantrenate pe ImageNet (învățare prin transfer: rețeaua pornește de la ce a învățat deja pe un set mare de imagini și este reantrenată pe SCIN). Ramura chestionarului este o rețea mică cu un strat de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Ieșirile celor două ramuri se concatenează și trec printr-un strat final care produce scorul pentru fiecare dintre cele patru categorii. Ca valoare de referință se antrenează și un model doar cu imagine, fără ramura chestionarului.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(de exemplu 44 de cazuri redness_rosacea față de 1.068 eczema_dermatitis), pierderea (loss, măsura erorii pe care o minimizează antrenarea) este entropia încrucișată ponderată invers proporțional cu frecvența clasei. Optimizatorul este AdamW [9] cu rata de învățare 3·10⁻⁴ și descreștere cosinusoidală [10], pe 15 epoci, cu precizie mixtă pe GPU. Se păstrează punctul de oprire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redactat: teste, metrici ale modelului, feedback de la utilizatori.]</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