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[To be written once results are available: background and objective, data and methods, main results, conclusion.]</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Each seed yields 3,523 train, 755 validation and 755 test cases. In eFST V–VI the cases split 305, 66 and 65. The redness_rosacea category has 44 cases in total (31, 7 and 6 for seed 0) and only one case in V–VI, in the training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and that the splits cover every case.</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272 validation and 271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resized to 224×224 pixels and normalised with the ImageNet mean (0.485, 0.456, 0.406) and standard deviation (0.229, 0.224, 0.225), the statistics the pretrained networks were trained with; validation and test receive no augmentation beyond these two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The image branch is EfficientNet-B0 [6] from the timm library [7] with weights pretrained on ImageNet (transfer learning: the network starts from what it already learned on a large image set and is retrained on SCIN). The questionnaire branch is a small network with one layer of 64 units that receives the 40-feature vector together with the 6-value mask (46 numbers). The outputs of both branches are concatenated and passed to a final layer that scores each of the four categories. A photo-only model, without the questionnaire branch, is trained as a baseline.</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(e.g. 44 redness_rosacea cases versus 1,068 eczema_dermatitis), the loss (the error measure that training minimises) is cross-entropy weighted inversely to class frequency. The optimiser is AdamW [8] with learning rate 3e-4 and cosine decay [9], for 15 epochs, with mixed precision on GPU. The checkpoint with the best validation macro-F1 is kept.</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groups. For the missing-answer question, the model is tested with 0%, 25%, 50%, 75% and 100% of the questionnaire fields hidden and compared with the photo-only model. Each configuration is run for the five seeds (0-4) and results are reported as mean and range. The script is ml/train.py.</w:t>
      </w:r>
    </w:p>
    <w:p>
      <w:pPr>
        <w:pStyle w:val="Heading1"/>
      </w:pPr>
      <w:r>
        <w:t>4. Results</w:t>
      </w:r>
    </w:p>
    <w:p>
      <w:pPr>
        <w:jc w:val="both"/>
      </w:pPr>
      <w:r>
        <w:rPr>
          <w:highlight w:val="yellow"/>
        </w:rPr>
        <w:t>[To be written once experiments are complete.]</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