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Rezultatul este 3.523 de cazuri în antrenare, 755 în validare și 755 în testare pentru fiecare seed. În grupul eFST V–VI cazurile se repartizează 305, 66 și 65. Categoria redness_rosacea are în total 44 de cazuri (31 în antrenare, 7 în validare, 6 în testare, pentru seed-ul 0), iar în V–VI un singur caz, în antrenare,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și că seturile acoperă toate cazurile.</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272 în validare și 271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redimensionate la 224×224 pixeli și normalizate cu media (0,485; 0,456; 0,406) și abaterea standard (0,229; 0,224; 0,225) ale setului ImageNet, valorile cu care au fost antrenate rețelele preantrenate; validarea și testarea nu primesc nicio augmentare în afară de aceste două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 Pentru întrebarea privind răspunsurile lipsă, modelul este testat cu 0%, 25%, 50%, 75% și 100% dintre câmpurile chestionarului ascunse, și comparat cu modelul doar cu imagine. Fiecare configurație se rulează pentru cele cinci seed-uri (0–4), iar rezultatele se raportează ca medie și interval de variație. Scriptul este ml/train.py.</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