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Capitolul 1. Introducere</w:t>
      </w:r>
    </w:p>
    <w:p>
      <w:pPr>
        <w:jc w:val="center"/>
      </w:pPr>
      <w:r>
        <w:rPr>
          <w:i/>
        </w:rPr>
        <w:t>Lucrare de licență: Companion pentru îngrijirea pielii asistat de inteligență artificială. Autor: Daria Giotina. (Ciornă)</w:t>
      </w:r>
    </w:p>
    <w:p>
      <w:pPr>
        <w:pStyle w:val="Heading2"/>
      </w:pPr>
      <w:r>
        <w:t>1.1 Motivație și formularea problemei</w:t>
      </w:r>
    </w:p>
    <w:p>
      <w:pPr>
        <w:ind w:firstLine="709"/>
        <w:jc w:val="both"/>
      </w:pPr>
      <w:r>
        <w:t>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[CITE], iar accesul la consultații de specialitate este adesea limitat de costuri, de distanța geografică sau de timpul de așteptare [CITE].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ind w:firstLine="709"/>
        <w:jc w:val="both"/>
      </w:pPr>
      <w:r>
        <w:t>Progresele recente din domeniul învățării automate, în special al rețelelor neuronale convoluționale și al transferului de cunoștințe de la modele preantrenate, au făcut posibilă clasificarea automată a imaginilor dermatologice cu rezultate promițătoare [CITE]. Cu toate acestea, majoritatea abordărilor existente se bazează exclusiv pe fotografie, deși informațiile declarate de utilizator, precum durata apariției, senzația de mâncărime sau rutina folosită, conțin indicii complementare pe care o imagine singură nu le poate oferi [CITE].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O a doua problemă, de natură etică și tehnică, este reprezentarea inegală a tonurilor de piele în seturile de date folosite pentru antrenare. Mai multe studii arată că tonurile închise sunt subreprezentate, ceea ce poate duce la performanțe diferite între grupuri [CITE]. Un sistem care îmbunătățește rezultatele în medie, dar le înrăutățește pentru anumite tonuri de piele, nu poate fi considerat echitabil, iar evaluarea performanței trebuie, prin urmare, stratificată în funcție de scalele Fitzpatrick și Monk [CITE].</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1.2 Obiective</w:t>
      </w:r>
    </w:p>
    <w:p>
      <w:pPr>
        <w:ind w:firstLine="709"/>
        <w:jc w:val="both"/>
      </w:pPr>
      <w:r>
        <w:t>[De redactat.]</w:t>
      </w:r>
    </w:p>
    <w:p>
      <w:pPr>
        <w:pStyle w:val="Heading2"/>
      </w:pPr>
      <w:r>
        <w:t>1.3 Contribuții</w:t>
      </w:r>
    </w:p>
    <w:p>
      <w:pPr>
        <w:ind w:firstLine="709"/>
        <w:jc w:val="both"/>
      </w:pPr>
      <w:r>
        <w:t>[De redactat după obținerea rezultatelor.]</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