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OPERATION FEDERAL READY — DATA ENGINEERING MANUAL, VOL. III</w:t>
      </w:r>
    </w:p>
    <w:p>
      <w:pPr>
        <w:pStyle w:val="BodyText"/>
      </w:pPr>
      <w:r>
        <w:rPr>
          <w:bCs/>
          <w:b/>
        </w:rPr>
        <w:t xml:space="preserve">Data Engineering Manual</w:t>
      </w:r>
    </w:p>
    <w:p>
      <w:pPr>
        <w:pStyle w:val="BodyText"/>
      </w:pPr>
      <w:r>
        <w:rPr>
          <w:bCs/>
          <w:b/>
        </w:rPr>
        <w:t xml:space="preserve">Volume III — Mission 1: Data Engineering Foundations</w:t>
      </w:r>
    </w:p>
    <w:bookmarkStart w:id="20" w:name="mission"/>
    <w:p>
      <w:pPr>
        <w:pStyle w:val="Heading3"/>
      </w:pPr>
      <w:r>
        <w:rPr>
          <w:bCs/>
          <w:b/>
        </w:rPr>
        <w:t xml:space="preserve">Mission</w:t>
      </w:r>
    </w:p>
    <w:p>
      <w:pPr>
        <w:pStyle w:val="FirstParagraph"/>
      </w:pPr>
      <w:r>
        <w:t xml:space="preserve">Build a working understanding of modern data engineering architecture — structured data, relational databases, warehouses, lakes, lakehouses, ETL/ELT, and enterprise pipelines — alongside the cloud and platform tools (Databricks, Azure, Power BI) observed at NFCU, in parallel with the SQL and Career manuals. This manual will expand to cover Python and additional data engineering tooling as the internship and course of study progress.</w:t>
      </w:r>
    </w:p>
    <w:bookmarkEnd w:id="20"/>
    <w:bookmarkStart w:id="21" w:name="revision-history"/>
    <w:p>
      <w:pPr>
        <w:pStyle w:val="Heading3"/>
      </w:pPr>
      <w:r>
        <w:rPr>
          <w:bCs/>
          <w:b/>
        </w:rPr>
        <w:t xml:space="preserve">Revision History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Version</w:t>
            </w:r>
          </w:p>
        </w:tc>
        <w:tc>
          <w:tcPr/>
          <w:p>
            <w:pPr>
              <w:pStyle w:val="Compact"/>
              <w:jc w:val="left"/>
            </w:pPr>
            <w:r>
              <w:rPr>
                <w:bCs/>
                <w:b/>
              </w:rPr>
              <w:t xml:space="preserve">Date</w:t>
            </w:r>
          </w:p>
        </w:tc>
        <w:tc>
          <w:tcPr/>
          <w:p>
            <w:pPr>
              <w:pStyle w:val="Compact"/>
              <w:jc w:val="left"/>
            </w:pPr>
            <w:r>
              <w:rPr>
                <w:bCs/>
                <w:b/>
              </w:rPr>
              <w:t xml:space="preserve">Changes</w:t>
            </w:r>
          </w:p>
        </w:tc>
        <w:tc>
          <w:tcPr/>
          <w:p>
            <w:pPr>
              <w:pStyle w:val="Compact"/>
              <w:jc w:val="left"/>
            </w:pPr>
            <w:r>
              <w:rPr>
                <w:bCs/>
                <w:b/>
              </w:rPr>
              <w:t xml:space="preserve">Author</w:t>
            </w:r>
          </w:p>
        </w:tc>
      </w:tr>
      <w:tr>
        <w:tc>
          <w:tcPr/>
          <w:p>
            <w:pPr>
              <w:pStyle w:val="Compact"/>
              <w:jc w:val="left"/>
            </w:pPr>
            <w:r>
              <w:t xml:space="preserve">1.0</w:t>
            </w:r>
          </w:p>
        </w:tc>
        <w:tc>
          <w:tcPr/>
          <w:p>
            <w:pPr>
              <w:pStyle w:val="Compact"/>
              <w:jc w:val="left"/>
            </w:pPr>
            <w:r>
              <w:t xml:space="preserve">Week 2</w:t>
            </w:r>
          </w:p>
        </w:tc>
        <w:tc>
          <w:tcPr/>
          <w:p>
            <w:pPr>
              <w:pStyle w:val="Compact"/>
              <w:jc w:val="left"/>
            </w:pPr>
            <w:r>
              <w:t xml:space="preserve">Manual created; DE-001 through DE-013 established from Week 2 study and NFCU observation</w:t>
            </w:r>
          </w:p>
        </w:tc>
        <w:tc>
          <w:tcPr/>
          <w:p>
            <w:pPr>
              <w:pStyle w:val="Compact"/>
              <w:jc w:val="left"/>
            </w:pPr>
            <w:r>
              <w:t xml:space="preserve">Darian Dickey</w:t>
            </w:r>
          </w:p>
        </w:tc>
      </w:tr>
    </w:tbl>
    <w:bookmarkEnd w:id="21"/>
    <w:bookmarkStart w:id="22" w:name="how-this-manual-is-organized"/>
    <w:p>
      <w:pPr>
        <w:pStyle w:val="Heading3"/>
      </w:pPr>
      <w:r>
        <w:rPr>
          <w:bCs/>
          <w:b/>
        </w:rPr>
        <w:t xml:space="preserve">How This Manual Is Organized</w:t>
      </w:r>
    </w:p>
    <w:p>
      <w:pPr>
        <w:pStyle w:val="FirstParagraph"/>
      </w:pPr>
      <w:r>
        <w:t xml:space="preserve">Each entry follows a consistent format: Definition, Enterprise Use, NFCU Use, Federal Government Use, Notes (drawn from direct study/observation), Future Learning, and References. Entries are numbered sequentially (DE-001, DE-002, …) regardless of the week in which they were added.</w:t>
      </w:r>
    </w:p>
    <w:bookmarkEnd w:id="22"/>
    <w:bookmarkStart w:id="36" w:name="week-2"/>
    <w:p>
      <w:pPr>
        <w:pStyle w:val="Heading1"/>
      </w:pPr>
      <w:r>
        <w:rPr>
          <w:bCs/>
          <w:b/>
        </w:rPr>
        <w:t xml:space="preserve">Week 2</w:t>
      </w:r>
    </w:p>
    <w:bookmarkStart w:id="23" w:name="de-001-structured-data"/>
    <w:p>
      <w:pPr>
        <w:pStyle w:val="Heading2"/>
      </w:pPr>
      <w:r>
        <w:rPr>
          <w:bCs/>
          <w:b/>
        </w:rPr>
        <w:t xml:space="preserve">DE-001 — Structured Data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Definition</w:t>
            </w:r>
          </w:p>
        </w:tc>
        <w:tc>
          <w:tcPr/>
          <w:p>
            <w:pPr>
              <w:pStyle w:val="Compact"/>
              <w:jc w:val="left"/>
            </w:pPr>
            <w:r>
              <w:t xml:space="preserve">Data that follows a predefined format — organized into rows and columns — allowing it to be efficiently stored, queried, and analyzed within relational database systems.</w:t>
            </w:r>
          </w:p>
        </w:tc>
      </w:tr>
      <w:tr>
        <w:tc>
          <w:tcPr/>
          <w:p>
            <w:pPr>
              <w:pStyle w:val="Compact"/>
              <w:jc w:val="left"/>
            </w:pPr>
            <w:r>
              <w:rPr>
                <w:bCs/>
                <w:b/>
              </w:rPr>
              <w:t xml:space="preserve">Enterprise Use</w:t>
            </w:r>
          </w:p>
        </w:tc>
        <w:tc>
          <w:tcPr/>
          <w:p>
            <w:pPr>
              <w:pStyle w:val="Compact"/>
              <w:jc w:val="left"/>
            </w:pPr>
            <w:r>
              <w:t xml:space="preserve">Forms the foundation of transactional systems, financial records, and HR systems where consistency and queryability are essential.</w:t>
            </w:r>
          </w:p>
        </w:tc>
      </w:tr>
      <w:tr>
        <w:tc>
          <w:tcPr/>
          <w:p>
            <w:pPr>
              <w:pStyle w:val="Compact"/>
              <w:jc w:val="left"/>
            </w:pPr>
            <w:r>
              <w:rPr>
                <w:bCs/>
                <w:b/>
              </w:rPr>
              <w:t xml:space="preserve">NFCU Use</w:t>
            </w:r>
          </w:p>
        </w:tc>
        <w:tc>
          <w:tcPr/>
          <w:p>
            <w:pPr>
              <w:pStyle w:val="Compact"/>
              <w:jc w:val="left"/>
            </w:pPr>
            <w:r>
              <w:t xml:space="preserve">HR data in Oracle Fusion HCM is structured data, organized into related tables that OTBI and BI Publisher query for reporting.</w:t>
            </w:r>
          </w:p>
        </w:tc>
      </w:tr>
      <w:tr>
        <w:tc>
          <w:tcPr/>
          <w:p>
            <w:pPr>
              <w:pStyle w:val="Compact"/>
              <w:jc w:val="left"/>
            </w:pPr>
            <w:r>
              <w:rPr>
                <w:bCs/>
                <w:b/>
              </w:rPr>
              <w:t xml:space="preserve">Federal Government Use</w:t>
            </w:r>
          </w:p>
        </w:tc>
        <w:tc>
          <w:tcPr/>
          <w:p>
            <w:pPr>
              <w:pStyle w:val="Compact"/>
              <w:jc w:val="left"/>
            </w:pPr>
            <w:r>
              <w:t xml:space="preserve">Federal personnel, financial, and readiness systems rely heavily on structured data for auditable, standardized reporting.</w:t>
            </w:r>
          </w:p>
        </w:tc>
      </w:tr>
      <w:tr>
        <w:tc>
          <w:tcPr/>
          <w:p>
            <w:pPr>
              <w:pStyle w:val="Compact"/>
              <w:jc w:val="left"/>
            </w:pPr>
            <w:r>
              <w:rPr>
                <w:bCs/>
                <w:b/>
              </w:rPr>
              <w:t xml:space="preserve">Notes</w:t>
            </w:r>
          </w:p>
        </w:tc>
        <w:tc>
          <w:tcPr/>
          <w:p>
            <w:pPr>
              <w:pStyle w:val="Compact"/>
              <w:jc w:val="left"/>
            </w:pPr>
            <w:r>
              <w:t xml:space="preserve">Structured data’s predefined format is what makes SQL an effective query language for it.</w:t>
            </w:r>
          </w:p>
        </w:tc>
      </w:tr>
      <w:tr>
        <w:tc>
          <w:tcPr/>
          <w:p>
            <w:pPr>
              <w:pStyle w:val="Compact"/>
              <w:jc w:val="left"/>
            </w:pPr>
            <w:r>
              <w:rPr>
                <w:bCs/>
                <w:b/>
              </w:rPr>
              <w:t xml:space="preserve">Future Learning</w:t>
            </w:r>
          </w:p>
        </w:tc>
        <w:tc>
          <w:tcPr/>
          <w:p>
            <w:pPr>
              <w:pStyle w:val="Compact"/>
              <w:jc w:val="left"/>
            </w:pPr>
            <w:r>
              <w:t xml:space="preserve">Contrast with semi-structured and unstructured data as Data Lake concepts are studied further.</w:t>
            </w:r>
          </w:p>
        </w:tc>
      </w:tr>
      <w:tr>
        <w:tc>
          <w:tcPr/>
          <w:p>
            <w:pPr>
              <w:pStyle w:val="Compact"/>
              <w:jc w:val="left"/>
            </w:pPr>
            <w:r>
              <w:rPr>
                <w:bCs/>
                <w:b/>
              </w:rPr>
              <w:t xml:space="preserve">References</w:t>
            </w:r>
          </w:p>
        </w:tc>
        <w:tc>
          <w:tcPr/>
          <w:p>
            <w:pPr>
              <w:pStyle w:val="Compact"/>
              <w:jc w:val="left"/>
            </w:pPr>
            <w:r>
              <w:t xml:space="preserve">DataCamp — Understanding Data Engineering, Ch. 1</w:t>
            </w:r>
          </w:p>
        </w:tc>
      </w:tr>
    </w:tbl>
    <w:bookmarkEnd w:id="23"/>
    <w:bookmarkStart w:id="24" w:name="de-002-relational-databases"/>
    <w:p>
      <w:pPr>
        <w:pStyle w:val="Heading2"/>
      </w:pPr>
      <w:r>
        <w:rPr>
          <w:bCs/>
          <w:b/>
        </w:rPr>
        <w:t xml:space="preserve">DE-002 — Relational Databases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Definition</w:t>
            </w:r>
          </w:p>
        </w:tc>
        <w:tc>
          <w:tcPr/>
          <w:p>
            <w:pPr>
              <w:pStyle w:val="Compact"/>
              <w:jc w:val="left"/>
            </w:pPr>
            <w:r>
              <w:t xml:space="preserve">Databases that organize information into related tables connected through primary and foreign keys, improving data integrity and reducing redundancy.</w:t>
            </w:r>
          </w:p>
        </w:tc>
      </w:tr>
      <w:tr>
        <w:tc>
          <w:tcPr/>
          <w:p>
            <w:pPr>
              <w:pStyle w:val="Compact"/>
              <w:jc w:val="left"/>
            </w:pPr>
            <w:r>
              <w:rPr>
                <w:bCs/>
                <w:b/>
              </w:rPr>
              <w:t xml:space="preserve">Enterprise Use</w:t>
            </w:r>
          </w:p>
        </w:tc>
        <w:tc>
          <w:tcPr/>
          <w:p>
            <w:pPr>
              <w:pStyle w:val="Compact"/>
              <w:jc w:val="left"/>
            </w:pPr>
            <w:r>
              <w:t xml:space="preserve">The standard architecture for transactional business systems (ERP, HR, finance) where data accuracy and relationships between entities matter.</w:t>
            </w:r>
          </w:p>
        </w:tc>
      </w:tr>
      <w:tr>
        <w:tc>
          <w:tcPr/>
          <w:p>
            <w:pPr>
              <w:pStyle w:val="Compact"/>
              <w:jc w:val="left"/>
            </w:pPr>
            <w:r>
              <w:rPr>
                <w:bCs/>
                <w:b/>
              </w:rPr>
              <w:t xml:space="preserve">NFCU Use</w:t>
            </w:r>
          </w:p>
        </w:tc>
        <w:tc>
          <w:tcPr/>
          <w:p>
            <w:pPr>
              <w:pStyle w:val="Compact"/>
              <w:jc w:val="left"/>
            </w:pPr>
            <w:r>
              <w:t xml:space="preserve">Oracle Fusion HCM is built on a relational database; JOIN operations connect employee, department, and building data across tables.</w:t>
            </w:r>
          </w:p>
        </w:tc>
      </w:tr>
      <w:tr>
        <w:tc>
          <w:tcPr/>
          <w:p>
            <w:pPr>
              <w:pStyle w:val="Compact"/>
              <w:jc w:val="left"/>
            </w:pPr>
            <w:r>
              <w:rPr>
                <w:bCs/>
                <w:b/>
              </w:rPr>
              <w:t xml:space="preserve">Federal Government Use</w:t>
            </w:r>
          </w:p>
        </w:tc>
        <w:tc>
          <w:tcPr/>
          <w:p>
            <w:pPr>
              <w:pStyle w:val="Compact"/>
              <w:jc w:val="left"/>
            </w:pPr>
            <w:r>
              <w:t xml:space="preserve">Federal HR and mission systems use relational databases to link personnel, position, and organizational structure data.</w:t>
            </w:r>
          </w:p>
        </w:tc>
      </w:tr>
      <w:tr>
        <w:tc>
          <w:tcPr/>
          <w:p>
            <w:pPr>
              <w:pStyle w:val="Compact"/>
              <w:jc w:val="left"/>
            </w:pPr>
            <w:r>
              <w:rPr>
                <w:bCs/>
                <w:b/>
              </w:rPr>
              <w:t xml:space="preserve">Notes</w:t>
            </w:r>
          </w:p>
        </w:tc>
        <w:tc>
          <w:tcPr/>
          <w:p>
            <w:pPr>
              <w:pStyle w:val="Compact"/>
              <w:jc w:val="left"/>
            </w:pPr>
            <w:r>
              <w:t xml:space="preserve">This week’s JOIN lessons (SQL-005, SQL-006) are the practical application of relational database theory.</w:t>
            </w:r>
          </w:p>
        </w:tc>
      </w:tr>
      <w:tr>
        <w:tc>
          <w:tcPr/>
          <w:p>
            <w:pPr>
              <w:pStyle w:val="Compact"/>
              <w:jc w:val="left"/>
            </w:pPr>
            <w:r>
              <w:rPr>
                <w:bCs/>
                <w:b/>
              </w:rPr>
              <w:t xml:space="preserve">Future Learning</w:t>
            </w:r>
          </w:p>
        </w:tc>
        <w:tc>
          <w:tcPr/>
          <w:p>
            <w:pPr>
              <w:pStyle w:val="Compact"/>
              <w:jc w:val="left"/>
            </w:pPr>
            <w:r>
              <w:t xml:space="preserve">Study normalization and schema design principles.</w:t>
            </w:r>
          </w:p>
        </w:tc>
      </w:tr>
      <w:tr>
        <w:tc>
          <w:tcPr/>
          <w:p>
            <w:pPr>
              <w:pStyle w:val="Compact"/>
              <w:jc w:val="left"/>
            </w:pPr>
            <w:r>
              <w:rPr>
                <w:bCs/>
                <w:b/>
              </w:rPr>
              <w:t xml:space="preserve">References</w:t>
            </w:r>
          </w:p>
        </w:tc>
        <w:tc>
          <w:tcPr/>
          <w:p>
            <w:pPr>
              <w:pStyle w:val="Compact"/>
              <w:jc w:val="left"/>
            </w:pPr>
            <w:r>
              <w:t xml:space="preserve">SQLBolt Lessons 6–7; DataCamp Ch. 1</w:t>
            </w:r>
          </w:p>
        </w:tc>
      </w:tr>
    </w:tbl>
    <w:bookmarkEnd w:id="24"/>
    <w:bookmarkStart w:id="25" w:name="de-003-data-warehouses"/>
    <w:p>
      <w:pPr>
        <w:pStyle w:val="Heading2"/>
      </w:pPr>
      <w:r>
        <w:rPr>
          <w:bCs/>
          <w:b/>
        </w:rPr>
        <w:t xml:space="preserve">DE-003 — Data Warehouses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Definition</w:t>
            </w:r>
          </w:p>
        </w:tc>
        <w:tc>
          <w:tcPr/>
          <w:p>
            <w:pPr>
              <w:pStyle w:val="Compact"/>
              <w:jc w:val="left"/>
            </w:pPr>
            <w:r>
              <w:t xml:space="preserve">A repository designed for structured, cleaned, historical business data, optimized for reporting and analytics rather than day-to-day transactions.</w:t>
            </w:r>
          </w:p>
        </w:tc>
      </w:tr>
      <w:tr>
        <w:tc>
          <w:tcPr/>
          <w:p>
            <w:pPr>
              <w:pStyle w:val="Compact"/>
              <w:jc w:val="left"/>
            </w:pPr>
            <w:r>
              <w:rPr>
                <w:bCs/>
                <w:b/>
              </w:rPr>
              <w:t xml:space="preserve">Enterprise Use</w:t>
            </w:r>
          </w:p>
        </w:tc>
        <w:tc>
          <w:tcPr/>
          <w:p>
            <w:pPr>
              <w:pStyle w:val="Compact"/>
              <w:jc w:val="left"/>
            </w:pPr>
            <w:r>
              <w:t xml:space="preserve">Consolidates data from multiple operational systems into a single analytics-ready source for business intelligence tools.</w:t>
            </w:r>
          </w:p>
        </w:tc>
      </w:tr>
      <w:tr>
        <w:tc>
          <w:tcPr/>
          <w:p>
            <w:pPr>
              <w:pStyle w:val="Compact"/>
              <w:jc w:val="left"/>
            </w:pPr>
            <w:r>
              <w:rPr>
                <w:bCs/>
                <w:b/>
              </w:rPr>
              <w:t xml:space="preserve">NFCU Use</w:t>
            </w:r>
          </w:p>
        </w:tc>
        <w:tc>
          <w:tcPr/>
          <w:p>
            <w:pPr>
              <w:pStyle w:val="Compact"/>
              <w:jc w:val="left"/>
            </w:pPr>
            <w:r>
              <w:t xml:space="preserve">Existing Oracle-based reporting layers function as the current data warehouse layer that NFCU’s HR Analytics team is beginning to migrate away from.</w:t>
            </w:r>
          </w:p>
        </w:tc>
      </w:tr>
      <w:tr>
        <w:tc>
          <w:tcPr/>
          <w:p>
            <w:pPr>
              <w:pStyle w:val="Compact"/>
              <w:jc w:val="left"/>
            </w:pPr>
            <w:r>
              <w:rPr>
                <w:bCs/>
                <w:b/>
              </w:rPr>
              <w:t xml:space="preserve">Federal Government Use</w:t>
            </w:r>
          </w:p>
        </w:tc>
        <w:tc>
          <w:tcPr/>
          <w:p>
            <w:pPr>
              <w:pStyle w:val="Compact"/>
              <w:jc w:val="left"/>
            </w:pPr>
            <w:r>
              <w:t xml:space="preserve">Agencies maintain data warehouses to support mission dashboards and legislatively required reporting.</w:t>
            </w:r>
          </w:p>
        </w:tc>
      </w:tr>
      <w:tr>
        <w:tc>
          <w:tcPr/>
          <w:p>
            <w:pPr>
              <w:pStyle w:val="Compact"/>
              <w:jc w:val="left"/>
            </w:pPr>
            <w:r>
              <w:rPr>
                <w:bCs/>
                <w:b/>
              </w:rPr>
              <w:t xml:space="preserve">Notes</w:t>
            </w:r>
          </w:p>
        </w:tc>
        <w:tc>
          <w:tcPr/>
          <w:p>
            <w:pPr>
              <w:pStyle w:val="Compact"/>
              <w:jc w:val="left"/>
            </w:pPr>
            <w:r>
              <w:t xml:space="preserve">Optimized for structured, historical data — distinct from a Data Lake’s raw-data storage model.</w:t>
            </w:r>
          </w:p>
        </w:tc>
      </w:tr>
      <w:tr>
        <w:tc>
          <w:tcPr/>
          <w:p>
            <w:pPr>
              <w:pStyle w:val="Compact"/>
              <w:jc w:val="left"/>
            </w:pPr>
            <w:r>
              <w:rPr>
                <w:bCs/>
                <w:b/>
              </w:rPr>
              <w:t xml:space="preserve">Future Learning</w:t>
            </w:r>
          </w:p>
        </w:tc>
        <w:tc>
          <w:tcPr/>
          <w:p>
            <w:pPr>
              <w:pStyle w:val="Compact"/>
              <w:jc w:val="left"/>
            </w:pPr>
            <w:r>
              <w:t xml:space="preserve">Compare warehouse schema design (star/snowflake schemas) once covered in DataCamp.</w:t>
            </w:r>
          </w:p>
        </w:tc>
      </w:tr>
      <w:tr>
        <w:tc>
          <w:tcPr/>
          <w:p>
            <w:pPr>
              <w:pStyle w:val="Compact"/>
              <w:jc w:val="left"/>
            </w:pPr>
            <w:r>
              <w:rPr>
                <w:bCs/>
                <w:b/>
              </w:rPr>
              <w:t xml:space="preserve">References</w:t>
            </w:r>
          </w:p>
        </w:tc>
        <w:tc>
          <w:tcPr/>
          <w:p>
            <w:pPr>
              <w:pStyle w:val="Compact"/>
              <w:jc w:val="left"/>
            </w:pPr>
            <w:r>
              <w:t xml:space="preserve">DataCamp — Understanding Data Engineering, Ch. 2</w:t>
            </w:r>
          </w:p>
        </w:tc>
      </w:tr>
    </w:tbl>
    <w:bookmarkEnd w:id="25"/>
    <w:bookmarkStart w:id="26" w:name="de-004-data-lakes"/>
    <w:p>
      <w:pPr>
        <w:pStyle w:val="Heading2"/>
      </w:pPr>
      <w:r>
        <w:rPr>
          <w:bCs/>
          <w:b/>
        </w:rPr>
        <w:t xml:space="preserve">DE-004 — Data Lakes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Definition</w:t>
            </w:r>
          </w:p>
        </w:tc>
        <w:tc>
          <w:tcPr/>
          <w:p>
            <w:pPr>
              <w:pStyle w:val="Compact"/>
              <w:jc w:val="left"/>
            </w:pPr>
            <w:r>
              <w:t xml:space="preserve">A storage repository that holds raw structured, semi-structured, and unstructured data before transformation.</w:t>
            </w:r>
          </w:p>
        </w:tc>
      </w:tr>
      <w:tr>
        <w:tc>
          <w:tcPr/>
          <w:p>
            <w:pPr>
              <w:pStyle w:val="Compact"/>
              <w:jc w:val="left"/>
            </w:pPr>
            <w:r>
              <w:rPr>
                <w:bCs/>
                <w:b/>
              </w:rPr>
              <w:t xml:space="preserve">Enterprise Use</w:t>
            </w:r>
          </w:p>
        </w:tc>
        <w:tc>
          <w:tcPr/>
          <w:p>
            <w:pPr>
              <w:pStyle w:val="Compact"/>
              <w:jc w:val="left"/>
            </w:pPr>
            <w:r>
              <w:t xml:space="preserve">Provides flexible, low-cost storage for large volumes of raw data that may not yet have a defined analytical use case.</w:t>
            </w:r>
          </w:p>
        </w:tc>
      </w:tr>
      <w:tr>
        <w:tc>
          <w:tcPr/>
          <w:p>
            <w:pPr>
              <w:pStyle w:val="Compact"/>
              <w:jc w:val="left"/>
            </w:pPr>
            <w:r>
              <w:rPr>
                <w:bCs/>
                <w:b/>
              </w:rPr>
              <w:t xml:space="preserve">NFCU Use</w:t>
            </w:r>
          </w:p>
        </w:tc>
        <w:tc>
          <w:tcPr/>
          <w:p>
            <w:pPr>
              <w:pStyle w:val="Compact"/>
              <w:jc w:val="left"/>
            </w:pPr>
            <w:r>
              <w:t xml:space="preserve">Not yet directly observed at NFCU, but relevant as the team’s Databricks migration is introduced — Databricks is commonly paired with lake-based storage.</w:t>
            </w:r>
          </w:p>
        </w:tc>
      </w:tr>
      <w:tr>
        <w:tc>
          <w:tcPr/>
          <w:p>
            <w:pPr>
              <w:pStyle w:val="Compact"/>
              <w:jc w:val="left"/>
            </w:pPr>
            <w:r>
              <w:rPr>
                <w:bCs/>
                <w:b/>
              </w:rPr>
              <w:t xml:space="preserve">Federal Government Use</w:t>
            </w:r>
          </w:p>
        </w:tc>
        <w:tc>
          <w:tcPr/>
          <w:p>
            <w:pPr>
              <w:pStyle w:val="Compact"/>
              <w:jc w:val="left"/>
            </w:pPr>
            <w:r>
              <w:t xml:space="preserve">Increasingly used by agencies to store large volumes of raw operational and sensor data ahead of analysis.</w:t>
            </w:r>
          </w:p>
        </w:tc>
      </w:tr>
      <w:tr>
        <w:tc>
          <w:tcPr/>
          <w:p>
            <w:pPr>
              <w:pStyle w:val="Compact"/>
              <w:jc w:val="left"/>
            </w:pPr>
            <w:r>
              <w:rPr>
                <w:bCs/>
                <w:b/>
              </w:rPr>
              <w:t xml:space="preserve">Notes</w:t>
            </w:r>
          </w:p>
        </w:tc>
        <w:tc>
          <w:tcPr/>
          <w:p>
            <w:pPr>
              <w:pStyle w:val="Compact"/>
              <w:jc w:val="left"/>
            </w:pPr>
            <w:r>
              <w:t xml:space="preserve">Distinguished from a Data Warehouse by storing raw, untransformed data rather than only cleaned, structured data.</w:t>
            </w:r>
          </w:p>
        </w:tc>
      </w:tr>
      <w:tr>
        <w:tc>
          <w:tcPr/>
          <w:p>
            <w:pPr>
              <w:pStyle w:val="Compact"/>
              <w:jc w:val="left"/>
            </w:pPr>
            <w:r>
              <w:rPr>
                <w:bCs/>
                <w:b/>
              </w:rPr>
              <w:t xml:space="preserve">Future Learning</w:t>
            </w:r>
          </w:p>
        </w:tc>
        <w:tc>
          <w:tcPr/>
          <w:p>
            <w:pPr>
              <w:pStyle w:val="Compact"/>
              <w:jc w:val="left"/>
            </w:pPr>
            <w:r>
              <w:t xml:space="preserve">Observe whether NFCU’s Databricks implementation includes a lake storage layer.</w:t>
            </w:r>
          </w:p>
        </w:tc>
      </w:tr>
      <w:tr>
        <w:tc>
          <w:tcPr/>
          <w:p>
            <w:pPr>
              <w:pStyle w:val="Compact"/>
              <w:jc w:val="left"/>
            </w:pPr>
            <w:r>
              <w:rPr>
                <w:bCs/>
                <w:b/>
              </w:rPr>
              <w:t xml:space="preserve">References</w:t>
            </w:r>
          </w:p>
        </w:tc>
        <w:tc>
          <w:tcPr/>
          <w:p>
            <w:pPr>
              <w:pStyle w:val="Compact"/>
              <w:jc w:val="left"/>
            </w:pPr>
            <w:r>
              <w:t xml:space="preserve">DataCamp — Understanding Data Engineering, Ch. 2</w:t>
            </w:r>
          </w:p>
        </w:tc>
      </w:tr>
    </w:tbl>
    <w:bookmarkEnd w:id="26"/>
    <w:bookmarkStart w:id="27" w:name="de-005-lakehouses"/>
    <w:p>
      <w:pPr>
        <w:pStyle w:val="Heading2"/>
      </w:pPr>
      <w:r>
        <w:rPr>
          <w:bCs/>
          <w:b/>
        </w:rPr>
        <w:t xml:space="preserve">DE-005 — Lakehouses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Definition</w:t>
            </w:r>
          </w:p>
        </w:tc>
        <w:tc>
          <w:tcPr/>
          <w:p>
            <w:pPr>
              <w:pStyle w:val="Compact"/>
              <w:jc w:val="left"/>
            </w:pPr>
            <w:r>
              <w:t xml:space="preserve">A modern architecture that combines the flexibility of a Data Lake with the management and analytical capabilities of a Data Warehouse.</w:t>
            </w:r>
          </w:p>
        </w:tc>
      </w:tr>
      <w:tr>
        <w:tc>
          <w:tcPr/>
          <w:p>
            <w:pPr>
              <w:pStyle w:val="Compact"/>
              <w:jc w:val="left"/>
            </w:pPr>
            <w:r>
              <w:rPr>
                <w:bCs/>
                <w:b/>
              </w:rPr>
              <w:t xml:space="preserve">Enterprise Use</w:t>
            </w:r>
          </w:p>
        </w:tc>
        <w:tc>
          <w:tcPr/>
          <w:p>
            <w:pPr>
              <w:pStyle w:val="Compact"/>
              <w:jc w:val="left"/>
            </w:pPr>
            <w:r>
              <w:t xml:space="preserve">Allows organizations to store raw and structured data together while still supporting reliable, governed analytics — reducing the need to maintain separate lake and warehouse systems.</w:t>
            </w:r>
          </w:p>
        </w:tc>
      </w:tr>
      <w:tr>
        <w:tc>
          <w:tcPr/>
          <w:p>
            <w:pPr>
              <w:pStyle w:val="Compact"/>
              <w:jc w:val="left"/>
            </w:pPr>
            <w:r>
              <w:rPr>
                <w:bCs/>
                <w:b/>
              </w:rPr>
              <w:t xml:space="preserve">NFCU Use</w:t>
            </w:r>
          </w:p>
        </w:tc>
        <w:tc>
          <w:tcPr/>
          <w:p>
            <w:pPr>
              <w:pStyle w:val="Compact"/>
              <w:jc w:val="left"/>
            </w:pPr>
            <w:r>
              <w:t xml:space="preserve">Directly relevant to NFCU’s transition toward Databricks, which is commonly used to implement lakehouse architecture.</w:t>
            </w:r>
          </w:p>
        </w:tc>
      </w:tr>
      <w:tr>
        <w:tc>
          <w:tcPr/>
          <w:p>
            <w:pPr>
              <w:pStyle w:val="Compact"/>
              <w:jc w:val="left"/>
            </w:pPr>
            <w:r>
              <w:rPr>
                <w:bCs/>
                <w:b/>
              </w:rPr>
              <w:t xml:space="preserve">Federal Government Use</w:t>
            </w:r>
          </w:p>
        </w:tc>
        <w:tc>
          <w:tcPr/>
          <w:p>
            <w:pPr>
              <w:pStyle w:val="Compact"/>
              <w:jc w:val="left"/>
            </w:pPr>
            <w:r>
              <w:t xml:space="preserve">An emerging pattern for agencies modernizing legacy data warehouse infrastructure into more flexible cloud-based architectures.</w:t>
            </w:r>
          </w:p>
        </w:tc>
      </w:tr>
      <w:tr>
        <w:tc>
          <w:tcPr/>
          <w:p>
            <w:pPr>
              <w:pStyle w:val="Compact"/>
              <w:jc w:val="left"/>
            </w:pPr>
            <w:r>
              <w:rPr>
                <w:bCs/>
                <w:b/>
              </w:rPr>
              <w:t xml:space="preserve">Notes</w:t>
            </w:r>
          </w:p>
        </w:tc>
        <w:tc>
          <w:tcPr/>
          <w:p>
            <w:pPr>
              <w:pStyle w:val="Compact"/>
              <w:jc w:val="left"/>
            </w:pPr>
            <w:r>
              <w:t xml:space="preserve">Represents the convergence point of the Data Warehouse vs. Data Lake conversation studied this week.</w:t>
            </w:r>
          </w:p>
        </w:tc>
      </w:tr>
      <w:tr>
        <w:tc>
          <w:tcPr/>
          <w:p>
            <w:pPr>
              <w:pStyle w:val="Compact"/>
              <w:jc w:val="left"/>
            </w:pPr>
            <w:r>
              <w:rPr>
                <w:bCs/>
                <w:b/>
              </w:rPr>
              <w:t xml:space="preserve">Future Learning</w:t>
            </w:r>
          </w:p>
        </w:tc>
        <w:tc>
          <w:tcPr/>
          <w:p>
            <w:pPr>
              <w:pStyle w:val="Compact"/>
              <w:jc w:val="left"/>
            </w:pPr>
            <w:r>
              <w:t xml:space="preserve">Study Databricks’ Lakehouse implementation specifically (Delta Lake).</w:t>
            </w:r>
          </w:p>
        </w:tc>
      </w:tr>
      <w:tr>
        <w:tc>
          <w:tcPr/>
          <w:p>
            <w:pPr>
              <w:pStyle w:val="Compact"/>
              <w:jc w:val="left"/>
            </w:pPr>
            <w:r>
              <w:rPr>
                <w:bCs/>
                <w:b/>
              </w:rPr>
              <w:t xml:space="preserve">References</w:t>
            </w:r>
          </w:p>
        </w:tc>
        <w:tc>
          <w:tcPr/>
          <w:p>
            <w:pPr>
              <w:pStyle w:val="Compact"/>
              <w:jc w:val="left"/>
            </w:pPr>
            <w:r>
              <w:t xml:space="preserve">DataCamp — Understanding Data Engineering, Ch. 2</w:t>
            </w:r>
          </w:p>
        </w:tc>
      </w:tr>
    </w:tbl>
    <w:bookmarkEnd w:id="27"/>
    <w:bookmarkStart w:id="28" w:name="de-006-etl"/>
    <w:p>
      <w:pPr>
        <w:pStyle w:val="Heading2"/>
      </w:pPr>
      <w:r>
        <w:rPr>
          <w:bCs/>
          <w:b/>
        </w:rPr>
        <w:t xml:space="preserve">DE-006 — ETL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Definition</w:t>
            </w:r>
          </w:p>
        </w:tc>
        <w:tc>
          <w:tcPr/>
          <w:p>
            <w:pPr>
              <w:pStyle w:val="Compact"/>
              <w:jc w:val="left"/>
            </w:pPr>
            <w:r>
              <w:t xml:space="preserve">Extract, Transform, Load — a data integration process where data is transformed before being loaded into its destination system.</w:t>
            </w:r>
          </w:p>
        </w:tc>
      </w:tr>
      <w:tr>
        <w:tc>
          <w:tcPr/>
          <w:p>
            <w:pPr>
              <w:pStyle w:val="Compact"/>
              <w:jc w:val="left"/>
            </w:pPr>
            <w:r>
              <w:rPr>
                <w:bCs/>
                <w:b/>
              </w:rPr>
              <w:t xml:space="preserve">Enterprise Use</w:t>
            </w:r>
          </w:p>
        </w:tc>
        <w:tc>
          <w:tcPr/>
          <w:p>
            <w:pPr>
              <w:pStyle w:val="Compact"/>
              <w:jc w:val="left"/>
            </w:pPr>
            <w:r>
              <w:t xml:space="preserve">Traditionally used to ensure data is cleaned and validated before it reaches a warehouse, particularly in on-premises or legacy architectures.</w:t>
            </w:r>
          </w:p>
        </w:tc>
      </w:tr>
      <w:tr>
        <w:tc>
          <w:tcPr/>
          <w:p>
            <w:pPr>
              <w:pStyle w:val="Compact"/>
              <w:jc w:val="left"/>
            </w:pPr>
            <w:r>
              <w:rPr>
                <w:bCs/>
                <w:b/>
              </w:rPr>
              <w:t xml:space="preserve">NFCU Use</w:t>
            </w:r>
          </w:p>
        </w:tc>
        <w:tc>
          <w:tcPr/>
          <w:p>
            <w:pPr>
              <w:pStyle w:val="Compact"/>
              <w:jc w:val="left"/>
            </w:pPr>
            <w:r>
              <w:t xml:space="preserve">Likely embedded in current Oracle-based reporting processes prior to the Databricks/Power BI migration (not yet directly confirmed).</w:t>
            </w:r>
          </w:p>
        </w:tc>
      </w:tr>
      <w:tr>
        <w:tc>
          <w:tcPr/>
          <w:p>
            <w:pPr>
              <w:pStyle w:val="Compact"/>
              <w:jc w:val="left"/>
            </w:pPr>
            <w:r>
              <w:rPr>
                <w:bCs/>
                <w:b/>
              </w:rPr>
              <w:t xml:space="preserve">Federal Government Use</w:t>
            </w:r>
          </w:p>
        </w:tc>
        <w:tc>
          <w:tcPr/>
          <w:p>
            <w:pPr>
              <w:pStyle w:val="Compact"/>
              <w:jc w:val="left"/>
            </w:pPr>
            <w:r>
              <w:t xml:space="preserve">Common in legacy federal reporting systems where data must be validated against strict standards before loading.</w:t>
            </w:r>
          </w:p>
        </w:tc>
      </w:tr>
      <w:tr>
        <w:tc>
          <w:tcPr/>
          <w:p>
            <w:pPr>
              <w:pStyle w:val="Compact"/>
              <w:jc w:val="left"/>
            </w:pPr>
            <w:r>
              <w:rPr>
                <w:bCs/>
                <w:b/>
              </w:rPr>
              <w:t xml:space="preserve">Notes</w:t>
            </w:r>
          </w:p>
        </w:tc>
        <w:tc>
          <w:tcPr/>
          <w:p>
            <w:pPr>
              <w:pStyle w:val="Compact"/>
              <w:jc w:val="left"/>
            </w:pPr>
            <w:r>
              <w:t xml:space="preserve">Independent research this week found that ETL is not becoming outdated — rather, the industry conversation has shifted toward designing complete end-to-end data pipelines, of which ETL is one implementation approach.</w:t>
            </w:r>
          </w:p>
        </w:tc>
      </w:tr>
      <w:tr>
        <w:tc>
          <w:tcPr/>
          <w:p>
            <w:pPr>
              <w:pStyle w:val="Compact"/>
              <w:jc w:val="left"/>
            </w:pPr>
            <w:r>
              <w:rPr>
                <w:bCs/>
                <w:b/>
              </w:rPr>
              <w:t xml:space="preserve">Future Learning</w:t>
            </w:r>
          </w:p>
        </w:tc>
        <w:tc>
          <w:tcPr/>
          <w:p>
            <w:pPr>
              <w:pStyle w:val="Compact"/>
              <w:jc w:val="left"/>
            </w:pPr>
            <w:r>
              <w:t xml:space="preserve">Compare specific ETL tools once introduced in DataCamp’s later modules.</w:t>
            </w:r>
          </w:p>
        </w:tc>
      </w:tr>
      <w:tr>
        <w:tc>
          <w:tcPr/>
          <w:p>
            <w:pPr>
              <w:pStyle w:val="Compact"/>
              <w:jc w:val="left"/>
            </w:pPr>
            <w:r>
              <w:rPr>
                <w:bCs/>
                <w:b/>
              </w:rPr>
              <w:t xml:space="preserve">References</w:t>
            </w:r>
          </w:p>
        </w:tc>
        <w:tc>
          <w:tcPr/>
          <w:p>
            <w:pPr>
              <w:pStyle w:val="Compact"/>
              <w:jc w:val="left"/>
            </w:pPr>
            <w:r>
              <w:t xml:space="preserve">Independent research, Friday Week 2; DataCamp Ch. 3</w:t>
            </w:r>
          </w:p>
        </w:tc>
      </w:tr>
    </w:tbl>
    <w:bookmarkEnd w:id="28"/>
    <w:bookmarkStart w:id="29" w:name="de-007-elt"/>
    <w:p>
      <w:pPr>
        <w:pStyle w:val="Heading2"/>
      </w:pPr>
      <w:r>
        <w:rPr>
          <w:bCs/>
          <w:b/>
        </w:rPr>
        <w:t xml:space="preserve">DE-007 — ELT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Definition</w:t>
            </w:r>
          </w:p>
        </w:tc>
        <w:tc>
          <w:tcPr/>
          <w:p>
            <w:pPr>
              <w:pStyle w:val="Compact"/>
              <w:jc w:val="left"/>
            </w:pPr>
            <w:r>
              <w:t xml:space="preserve">Extract, Load, Transform — data is loaded into the destination system first (often a cloud data warehouse or lakehouse) and transformed afterward.</w:t>
            </w:r>
          </w:p>
        </w:tc>
      </w:tr>
      <w:tr>
        <w:tc>
          <w:tcPr/>
          <w:p>
            <w:pPr>
              <w:pStyle w:val="Compact"/>
              <w:jc w:val="left"/>
            </w:pPr>
            <w:r>
              <w:rPr>
                <w:bCs/>
                <w:b/>
              </w:rPr>
              <w:t xml:space="preserve">Enterprise Use</w:t>
            </w:r>
          </w:p>
        </w:tc>
        <w:tc>
          <w:tcPr/>
          <w:p>
            <w:pPr>
              <w:pStyle w:val="Compact"/>
              <w:jc w:val="left"/>
            </w:pPr>
            <w:r>
              <w:t xml:space="preserve">Favored in modern cloud architectures where compute power at the destination (e.g., Databricks, Snowflake) makes post-load transformation efficient and scalable.</w:t>
            </w:r>
          </w:p>
        </w:tc>
      </w:tr>
      <w:tr>
        <w:tc>
          <w:tcPr/>
          <w:p>
            <w:pPr>
              <w:pStyle w:val="Compact"/>
              <w:jc w:val="left"/>
            </w:pPr>
            <w:r>
              <w:rPr>
                <w:bCs/>
                <w:b/>
              </w:rPr>
              <w:t xml:space="preserve">NFCU Use</w:t>
            </w:r>
          </w:p>
        </w:tc>
        <w:tc>
          <w:tcPr/>
          <w:p>
            <w:pPr>
              <w:pStyle w:val="Compact"/>
              <w:jc w:val="left"/>
            </w:pPr>
            <w:r>
              <w:t xml:space="preserve">Likely to become more relevant as NFCU migrates toward a Databricks-based architecture.</w:t>
            </w:r>
          </w:p>
        </w:tc>
      </w:tr>
      <w:tr>
        <w:tc>
          <w:tcPr/>
          <w:p>
            <w:pPr>
              <w:pStyle w:val="Compact"/>
              <w:jc w:val="left"/>
            </w:pPr>
            <w:r>
              <w:rPr>
                <w:bCs/>
                <w:b/>
              </w:rPr>
              <w:t xml:space="preserve">Federal Government Use</w:t>
            </w:r>
          </w:p>
        </w:tc>
        <w:tc>
          <w:tcPr/>
          <w:p>
            <w:pPr>
              <w:pStyle w:val="Compact"/>
              <w:jc w:val="left"/>
            </w:pPr>
            <w:r>
              <w:t xml:space="preserve">Growing in federal cloud environments as agencies adopt scalable cloud data platforms.</w:t>
            </w:r>
          </w:p>
        </w:tc>
      </w:tr>
      <w:tr>
        <w:tc>
          <w:tcPr/>
          <w:p>
            <w:pPr>
              <w:pStyle w:val="Compact"/>
              <w:jc w:val="left"/>
            </w:pPr>
            <w:r>
              <w:rPr>
                <w:bCs/>
                <w:b/>
              </w:rPr>
              <w:t xml:space="preserve">Notes</w:t>
            </w:r>
          </w:p>
        </w:tc>
        <w:tc>
          <w:tcPr/>
          <w:p>
            <w:pPr>
              <w:pStyle w:val="Compact"/>
              <w:jc w:val="left"/>
            </w:pPr>
            <w:r>
              <w:t xml:space="preserve">Both ETL and ELT remain valuable depending on the architecture, business requirements, and cloud platform being used — the emphasis has shifted from the transformation method itself toward overall data movement, governance, scalability, and automation.</w:t>
            </w:r>
          </w:p>
        </w:tc>
      </w:tr>
      <w:tr>
        <w:tc>
          <w:tcPr/>
          <w:p>
            <w:pPr>
              <w:pStyle w:val="Compact"/>
              <w:jc w:val="left"/>
            </w:pPr>
            <w:r>
              <w:rPr>
                <w:bCs/>
                <w:b/>
              </w:rPr>
              <w:t xml:space="preserve">Future Learning</w:t>
            </w:r>
          </w:p>
        </w:tc>
        <w:tc>
          <w:tcPr/>
          <w:p>
            <w:pPr>
              <w:pStyle w:val="Compact"/>
              <w:jc w:val="left"/>
            </w:pPr>
            <w:r>
              <w:t xml:space="preserve">Observe which model (ETL or ELT) NFCU’s Databricks migration ultimately follows.</w:t>
            </w:r>
          </w:p>
        </w:tc>
      </w:tr>
      <w:tr>
        <w:tc>
          <w:tcPr/>
          <w:p>
            <w:pPr>
              <w:pStyle w:val="Compact"/>
              <w:jc w:val="left"/>
            </w:pPr>
            <w:r>
              <w:rPr>
                <w:bCs/>
                <w:b/>
              </w:rPr>
              <w:t xml:space="preserve">References</w:t>
            </w:r>
          </w:p>
        </w:tc>
        <w:tc>
          <w:tcPr/>
          <w:p>
            <w:pPr>
              <w:pStyle w:val="Compact"/>
              <w:jc w:val="left"/>
            </w:pPr>
            <w:r>
              <w:t xml:space="preserve">Independent research, Friday Week 2</w:t>
            </w:r>
          </w:p>
        </w:tc>
      </w:tr>
    </w:tbl>
    <w:bookmarkEnd w:id="29"/>
    <w:bookmarkStart w:id="30" w:name="de-008-enterprise-data-pipelines"/>
    <w:p>
      <w:pPr>
        <w:pStyle w:val="Heading2"/>
      </w:pPr>
      <w:r>
        <w:rPr>
          <w:bCs/>
          <w:b/>
        </w:rPr>
        <w:t xml:space="preserve">DE-008 — Enterprise Data Pipelines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Definition</w:t>
            </w:r>
          </w:p>
        </w:tc>
        <w:tc>
          <w:tcPr/>
          <w:p>
            <w:pPr>
              <w:pStyle w:val="Compact"/>
              <w:jc w:val="left"/>
            </w:pPr>
            <w:r>
              <w:t xml:space="preserve">The complete, connected set of processes that move data from source systems through cleaning, transformation, and preparation stages into analytics-ready destinations.</w:t>
            </w:r>
          </w:p>
        </w:tc>
      </w:tr>
      <w:tr>
        <w:tc>
          <w:tcPr/>
          <w:p>
            <w:pPr>
              <w:pStyle w:val="Compact"/>
              <w:jc w:val="left"/>
            </w:pPr>
            <w:r>
              <w:rPr>
                <w:bCs/>
                <w:b/>
              </w:rPr>
              <w:t xml:space="preserve">Enterprise Use</w:t>
            </w:r>
          </w:p>
        </w:tc>
        <w:tc>
          <w:tcPr/>
          <w:p>
            <w:pPr>
              <w:pStyle w:val="Compact"/>
              <w:jc w:val="left"/>
            </w:pPr>
            <w:r>
              <w:t xml:space="preserve">Automates and standardizes data movement so that dashboards and reports are built on consistent, current, validated data.</w:t>
            </w:r>
          </w:p>
        </w:tc>
      </w:tr>
      <w:tr>
        <w:tc>
          <w:tcPr/>
          <w:p>
            <w:pPr>
              <w:pStyle w:val="Compact"/>
              <w:jc w:val="left"/>
            </w:pPr>
            <w:r>
              <w:rPr>
                <w:bCs/>
                <w:b/>
              </w:rPr>
              <w:t xml:space="preserve">NFCU Use</w:t>
            </w:r>
          </w:p>
        </w:tc>
        <w:tc>
          <w:tcPr/>
          <w:p>
            <w:pPr>
              <w:pStyle w:val="Compact"/>
              <w:jc w:val="left"/>
            </w:pPr>
            <w:r>
              <w:t xml:space="preserve">HR data pipeline is evolving from Oracle HCM/OTBI/BI Publisher toward a Databricks + Power BI architecture.</w:t>
            </w:r>
          </w:p>
        </w:tc>
      </w:tr>
      <w:tr>
        <w:tc>
          <w:tcPr/>
          <w:p>
            <w:pPr>
              <w:pStyle w:val="Compact"/>
              <w:jc w:val="left"/>
            </w:pPr>
            <w:r>
              <w:rPr>
                <w:bCs/>
                <w:b/>
              </w:rPr>
              <w:t xml:space="preserve">Federal Government Use</w:t>
            </w:r>
          </w:p>
        </w:tc>
        <w:tc>
          <w:tcPr/>
          <w:p>
            <w:pPr>
              <w:pStyle w:val="Compact"/>
              <w:jc w:val="left"/>
            </w:pPr>
            <w:r>
              <w:t xml:space="preserve">Federal mission and workforce dashboards rely on governed pipelines connecting operational systems to reporting platforms.</w:t>
            </w:r>
          </w:p>
        </w:tc>
      </w:tr>
      <w:tr>
        <w:tc>
          <w:tcPr/>
          <w:p>
            <w:pPr>
              <w:pStyle w:val="Compact"/>
              <w:jc w:val="left"/>
            </w:pPr>
            <w:r>
              <w:rPr>
                <w:bCs/>
                <w:b/>
              </w:rPr>
              <w:t xml:space="preserve">Notes</w:t>
            </w:r>
          </w:p>
        </w:tc>
        <w:tc>
          <w:tcPr/>
          <w:p>
            <w:pPr>
              <w:pStyle w:val="Compact"/>
              <w:jc w:val="left"/>
            </w:pPr>
            <w:r>
              <w:t xml:space="preserve">Data moves through multiple processing stages where it is cleaned, transformed, validated, and prepared for business use — analysts typically only see the final output, not the pipeline itself.</w:t>
            </w:r>
          </w:p>
        </w:tc>
      </w:tr>
      <w:tr>
        <w:tc>
          <w:tcPr/>
          <w:p>
            <w:pPr>
              <w:pStyle w:val="Compact"/>
              <w:jc w:val="left"/>
            </w:pPr>
            <w:r>
              <w:rPr>
                <w:bCs/>
                <w:b/>
              </w:rPr>
              <w:t xml:space="preserve">Future Learning</w:t>
            </w:r>
          </w:p>
        </w:tc>
        <w:tc>
          <w:tcPr/>
          <w:p>
            <w:pPr>
              <w:pStyle w:val="Compact"/>
              <w:jc w:val="left"/>
            </w:pPr>
            <w:r>
              <w:t xml:space="preserve">Continue DataCamp’s pipeline-focused chapters; observe NFCU’s pipeline directly where possible.</w:t>
            </w:r>
          </w:p>
        </w:tc>
      </w:tr>
      <w:tr>
        <w:tc>
          <w:tcPr/>
          <w:p>
            <w:pPr>
              <w:pStyle w:val="Compact"/>
              <w:jc w:val="left"/>
            </w:pPr>
            <w:r>
              <w:rPr>
                <w:bCs/>
                <w:b/>
              </w:rPr>
              <w:t xml:space="preserve">References</w:t>
            </w:r>
          </w:p>
        </w:tc>
        <w:tc>
          <w:tcPr/>
          <w:p>
            <w:pPr>
              <w:pStyle w:val="Compact"/>
              <w:jc w:val="left"/>
            </w:pPr>
            <w:r>
              <w:t xml:space="preserve">DataCamp — Understanding Data Engineering, Ch. 1 &amp; 3</w:t>
            </w:r>
          </w:p>
        </w:tc>
      </w:tr>
    </w:tbl>
    <w:bookmarkEnd w:id="30"/>
    <w:bookmarkStart w:id="31" w:name="de-009-databricks"/>
    <w:p>
      <w:pPr>
        <w:pStyle w:val="Heading2"/>
      </w:pPr>
      <w:r>
        <w:rPr>
          <w:bCs/>
          <w:b/>
        </w:rPr>
        <w:t xml:space="preserve">DE-009 — Databricks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Definition</w:t>
            </w:r>
          </w:p>
        </w:tc>
        <w:tc>
          <w:tcPr/>
          <w:p>
            <w:pPr>
              <w:pStyle w:val="Compact"/>
              <w:jc w:val="left"/>
            </w:pPr>
            <w:r>
              <w:t xml:space="preserve">A unified analytics platform for large-scale data processing, engineering, and machine learning, commonly built on Delta Lake and deployed on cloud infrastructure such as Azure.</w:t>
            </w:r>
          </w:p>
        </w:tc>
      </w:tr>
      <w:tr>
        <w:tc>
          <w:tcPr/>
          <w:p>
            <w:pPr>
              <w:pStyle w:val="Compact"/>
              <w:jc w:val="left"/>
            </w:pPr>
            <w:r>
              <w:rPr>
                <w:bCs/>
                <w:b/>
              </w:rPr>
              <w:t xml:space="preserve">Enterprise Use</w:t>
            </w:r>
          </w:p>
        </w:tc>
        <w:tc>
          <w:tcPr/>
          <w:p>
            <w:pPr>
              <w:pStyle w:val="Compact"/>
              <w:jc w:val="left"/>
            </w:pPr>
            <w:r>
              <w:t xml:space="preserve">Unifies data engineering, analytics, and machine learning workflows on a single collaborative platform.</w:t>
            </w:r>
          </w:p>
        </w:tc>
      </w:tr>
      <w:tr>
        <w:tc>
          <w:tcPr/>
          <w:p>
            <w:pPr>
              <w:pStyle w:val="Compact"/>
              <w:jc w:val="left"/>
            </w:pPr>
            <w:r>
              <w:rPr>
                <w:bCs/>
                <w:b/>
              </w:rPr>
              <w:t xml:space="preserve">NFCU Use</w:t>
            </w:r>
          </w:p>
        </w:tc>
        <w:tc>
          <w:tcPr/>
          <w:p>
            <w:pPr>
              <w:pStyle w:val="Compact"/>
              <w:jc w:val="left"/>
            </w:pPr>
            <w:r>
              <w:t xml:space="preserve">Central to NFCU HR Analytics’ modern architecture migration, working alongside Power BI.</w:t>
            </w:r>
          </w:p>
        </w:tc>
      </w:tr>
      <w:tr>
        <w:tc>
          <w:tcPr/>
          <w:p>
            <w:pPr>
              <w:pStyle w:val="Compact"/>
              <w:jc w:val="left"/>
            </w:pPr>
            <w:r>
              <w:rPr>
                <w:bCs/>
                <w:b/>
              </w:rPr>
              <w:t xml:space="preserve">Federal Government Use</w:t>
            </w:r>
          </w:p>
        </w:tc>
        <w:tc>
          <w:tcPr/>
          <w:p>
            <w:pPr>
              <w:pStyle w:val="Compact"/>
              <w:jc w:val="left"/>
            </w:pPr>
            <w:r>
              <w:t xml:space="preserve">Adopted within government-authorized cloud environments to modernize legacy data infrastructure.</w:t>
            </w:r>
          </w:p>
        </w:tc>
      </w:tr>
      <w:tr>
        <w:tc>
          <w:tcPr/>
          <w:p>
            <w:pPr>
              <w:pStyle w:val="Compact"/>
              <w:jc w:val="left"/>
            </w:pPr>
            <w:r>
              <w:rPr>
                <w:bCs/>
                <w:b/>
              </w:rPr>
              <w:t xml:space="preserve">Notes</w:t>
            </w:r>
          </w:p>
        </w:tc>
        <w:tc>
          <w:tcPr/>
          <w:p>
            <w:pPr>
              <w:pStyle w:val="Compact"/>
              <w:jc w:val="left"/>
            </w:pPr>
            <w:r>
              <w:t xml:space="preserve">Functions as the organization’s central analytics platform for processing and preparing enterprise data, integrating with Azure and Power BI.</w:t>
            </w:r>
          </w:p>
        </w:tc>
      </w:tr>
      <w:tr>
        <w:tc>
          <w:tcPr/>
          <w:p>
            <w:pPr>
              <w:pStyle w:val="Compact"/>
              <w:jc w:val="left"/>
            </w:pPr>
            <w:r>
              <w:rPr>
                <w:bCs/>
                <w:b/>
              </w:rPr>
              <w:t xml:space="preserve">Future Learning</w:t>
            </w:r>
          </w:p>
        </w:tc>
        <w:tc>
          <w:tcPr/>
          <w:p>
            <w:pPr>
              <w:pStyle w:val="Compact"/>
              <w:jc w:val="left"/>
            </w:pPr>
            <w:r>
              <w:t xml:space="preserve">Hands-on exposure once available through the internship; explore Databricks Community Edition independently.</w:t>
            </w:r>
          </w:p>
        </w:tc>
      </w:tr>
      <w:tr>
        <w:tc>
          <w:tcPr/>
          <w:p>
            <w:pPr>
              <w:pStyle w:val="Compact"/>
              <w:jc w:val="left"/>
            </w:pPr>
            <w:r>
              <w:rPr>
                <w:bCs/>
                <w:b/>
              </w:rPr>
              <w:t xml:space="preserve">References</w:t>
            </w:r>
          </w:p>
        </w:tc>
        <w:tc>
          <w:tcPr/>
          <w:p>
            <w:pPr>
              <w:pStyle w:val="Compact"/>
              <w:jc w:val="left"/>
            </w:pPr>
            <w:r>
              <w:t xml:space="preserve">NFCU HR Analytics observation, Week 2</w:t>
            </w:r>
          </w:p>
        </w:tc>
      </w:tr>
    </w:tbl>
    <w:bookmarkEnd w:id="31"/>
    <w:bookmarkStart w:id="32" w:name="de-010-microsoft-azure"/>
    <w:p>
      <w:pPr>
        <w:pStyle w:val="Heading2"/>
      </w:pPr>
      <w:r>
        <w:rPr>
          <w:bCs/>
          <w:b/>
        </w:rPr>
        <w:t xml:space="preserve">DE-010 — Microsoft Azure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Definition</w:t>
            </w:r>
          </w:p>
        </w:tc>
        <w:tc>
          <w:tcPr/>
          <w:p>
            <w:pPr>
              <w:pStyle w:val="Compact"/>
              <w:jc w:val="left"/>
            </w:pPr>
            <w:r>
              <w:t xml:space="preserve">A cloud computing platform providing infrastructure, storage, data, and AI services.</w:t>
            </w:r>
          </w:p>
        </w:tc>
      </w:tr>
      <w:tr>
        <w:tc>
          <w:tcPr/>
          <w:p>
            <w:pPr>
              <w:pStyle w:val="Compact"/>
              <w:jc w:val="left"/>
            </w:pPr>
            <w:r>
              <w:rPr>
                <w:bCs/>
                <w:b/>
              </w:rPr>
              <w:t xml:space="preserve">Enterprise Use</w:t>
            </w:r>
          </w:p>
        </w:tc>
        <w:tc>
          <w:tcPr/>
          <w:p>
            <w:pPr>
              <w:pStyle w:val="Compact"/>
              <w:jc w:val="left"/>
            </w:pPr>
            <w:r>
              <w:t xml:space="preserve">Enables on-demand scaling of compute/storage and tight integration with Microsoft’s enterprise tool ecosystem.</w:t>
            </w:r>
          </w:p>
        </w:tc>
      </w:tr>
      <w:tr>
        <w:tc>
          <w:tcPr/>
          <w:p>
            <w:pPr>
              <w:pStyle w:val="Compact"/>
              <w:jc w:val="left"/>
            </w:pPr>
            <w:r>
              <w:rPr>
                <w:bCs/>
                <w:b/>
              </w:rPr>
              <w:t xml:space="preserve">NFCU Use</w:t>
            </w:r>
          </w:p>
        </w:tc>
        <w:tc>
          <w:tcPr/>
          <w:p>
            <w:pPr>
              <w:pStyle w:val="Compact"/>
              <w:jc w:val="left"/>
            </w:pPr>
            <w:r>
              <w:t xml:space="preserve">The underlying cloud ecosystem aligning with NFCU’s adopted analytics stack (Databricks, Power BI).</w:t>
            </w:r>
          </w:p>
        </w:tc>
      </w:tr>
      <w:tr>
        <w:tc>
          <w:tcPr/>
          <w:p>
            <w:pPr>
              <w:pStyle w:val="Compact"/>
              <w:jc w:val="left"/>
            </w:pPr>
            <w:r>
              <w:rPr>
                <w:bCs/>
                <w:b/>
              </w:rPr>
              <w:t xml:space="preserve">Federal Government Use</w:t>
            </w:r>
          </w:p>
        </w:tc>
        <w:tc>
          <w:tcPr/>
          <w:p>
            <w:pPr>
              <w:pStyle w:val="Compact"/>
              <w:jc w:val="left"/>
            </w:pPr>
            <w:r>
              <w:t xml:space="preserve">Azure Government provides a FedRAMP-compliant cloud environment for federal agencies.</w:t>
            </w:r>
          </w:p>
        </w:tc>
      </w:tr>
      <w:tr>
        <w:tc>
          <w:tcPr/>
          <w:p>
            <w:pPr>
              <w:pStyle w:val="Compact"/>
              <w:jc w:val="left"/>
            </w:pPr>
            <w:r>
              <w:rPr>
                <w:bCs/>
                <w:b/>
              </w:rPr>
              <w:t xml:space="preserve">Notes</w:t>
            </w:r>
          </w:p>
        </w:tc>
        <w:tc>
          <w:tcPr/>
          <w:p>
            <w:pPr>
              <w:pStyle w:val="Compact"/>
              <w:jc w:val="left"/>
            </w:pPr>
            <w:r>
              <w:t xml:space="preserve">Understanding Azure will become increasingly valuable when progressing toward Data Engineering.</w:t>
            </w:r>
          </w:p>
        </w:tc>
      </w:tr>
      <w:tr>
        <w:tc>
          <w:tcPr/>
          <w:p>
            <w:pPr>
              <w:pStyle w:val="Compact"/>
              <w:jc w:val="left"/>
            </w:pPr>
            <w:r>
              <w:rPr>
                <w:bCs/>
                <w:b/>
              </w:rPr>
              <w:t xml:space="preserve">Future Learning</w:t>
            </w:r>
          </w:p>
        </w:tc>
        <w:tc>
          <w:tcPr/>
          <w:p>
            <w:pPr>
              <w:pStyle w:val="Compact"/>
              <w:jc w:val="left"/>
            </w:pPr>
            <w:r>
              <w:t xml:space="preserve">Microsoft Azure Data Fundamentals (DP-900) as an entry-level certification target.</w:t>
            </w:r>
          </w:p>
        </w:tc>
      </w:tr>
      <w:tr>
        <w:tc>
          <w:tcPr/>
          <w:p>
            <w:pPr>
              <w:pStyle w:val="Compact"/>
              <w:jc w:val="left"/>
            </w:pPr>
            <w:r>
              <w:rPr>
                <w:bCs/>
                <w:b/>
              </w:rPr>
              <w:t xml:space="preserve">References</w:t>
            </w:r>
          </w:p>
        </w:tc>
        <w:tc>
          <w:tcPr/>
          <w:p>
            <w:pPr>
              <w:pStyle w:val="Compact"/>
              <w:jc w:val="left"/>
            </w:pPr>
            <w:r>
              <w:t xml:space="preserve">NFCU HR Analytics observation, Week 2</w:t>
            </w:r>
          </w:p>
        </w:tc>
      </w:tr>
    </w:tbl>
    <w:bookmarkEnd w:id="32"/>
    <w:bookmarkStart w:id="33" w:name="de-011-microsoft-power-bi"/>
    <w:p>
      <w:pPr>
        <w:pStyle w:val="Heading2"/>
      </w:pPr>
      <w:r>
        <w:rPr>
          <w:bCs/>
          <w:b/>
        </w:rPr>
        <w:t xml:space="preserve">DE-011 — Microsoft Power BI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Definition</w:t>
            </w:r>
          </w:p>
        </w:tc>
        <w:tc>
          <w:tcPr/>
          <w:p>
            <w:pPr>
              <w:pStyle w:val="Compact"/>
              <w:jc w:val="left"/>
            </w:pPr>
            <w:r>
              <w:t xml:space="preserve">A business intelligence and visualization platform used to build interactive dashboards and reports from connected data sources.</w:t>
            </w:r>
          </w:p>
        </w:tc>
      </w:tr>
      <w:tr>
        <w:tc>
          <w:tcPr/>
          <w:p>
            <w:pPr>
              <w:pStyle w:val="Compact"/>
              <w:jc w:val="left"/>
            </w:pPr>
            <w:r>
              <w:rPr>
                <w:bCs/>
                <w:b/>
              </w:rPr>
              <w:t xml:space="preserve">Enterprise Use</w:t>
            </w:r>
          </w:p>
        </w:tc>
        <w:tc>
          <w:tcPr/>
          <w:p>
            <w:pPr>
              <w:pStyle w:val="Compact"/>
              <w:jc w:val="left"/>
            </w:pPr>
            <w:r>
              <w:t xml:space="preserve">Converts prepared/modeled data into interactive dashboards supporting business decision-making.</w:t>
            </w:r>
          </w:p>
        </w:tc>
      </w:tr>
      <w:tr>
        <w:tc>
          <w:tcPr/>
          <w:p>
            <w:pPr>
              <w:pStyle w:val="Compact"/>
              <w:jc w:val="left"/>
            </w:pPr>
            <w:r>
              <w:rPr>
                <w:bCs/>
                <w:b/>
              </w:rPr>
              <w:t xml:space="preserve">NFCU Use</w:t>
            </w:r>
          </w:p>
        </w:tc>
        <w:tc>
          <w:tcPr/>
          <w:p>
            <w:pPr>
              <w:pStyle w:val="Compact"/>
              <w:jc w:val="left"/>
            </w:pPr>
            <w:r>
              <w:t xml:space="preserve">Becoming the primary visualization platform for NFCU HR Analytics reporting.</w:t>
            </w:r>
          </w:p>
        </w:tc>
      </w:tr>
      <w:tr>
        <w:tc>
          <w:tcPr/>
          <w:p>
            <w:pPr>
              <w:pStyle w:val="Compact"/>
              <w:jc w:val="left"/>
            </w:pPr>
            <w:r>
              <w:rPr>
                <w:bCs/>
                <w:b/>
              </w:rPr>
              <w:t xml:space="preserve">Federal Government Use</w:t>
            </w:r>
          </w:p>
        </w:tc>
        <w:tc>
          <w:tcPr/>
          <w:p>
            <w:pPr>
              <w:pStyle w:val="Compact"/>
              <w:jc w:val="left"/>
            </w:pPr>
            <w:r>
              <w:t xml:space="preserve">Used by agencies for workforce, budget, and readiness dashboards.</w:t>
            </w:r>
          </w:p>
        </w:tc>
      </w:tr>
      <w:tr>
        <w:tc>
          <w:tcPr/>
          <w:p>
            <w:pPr>
              <w:pStyle w:val="Compact"/>
              <w:jc w:val="left"/>
            </w:pPr>
            <w:r>
              <w:rPr>
                <w:bCs/>
                <w:b/>
              </w:rPr>
              <w:t xml:space="preserve">Notes</w:t>
            </w:r>
          </w:p>
        </w:tc>
        <w:tc>
          <w:tcPr/>
          <w:p>
            <w:pPr>
              <w:pStyle w:val="Compact"/>
              <w:jc w:val="left"/>
            </w:pPr>
            <w:r>
              <w:t xml:space="preserve">The goal is to understand the complete process that prepares underlying data before visualization occurs, not to treat visualization as an isolated skill.</w:t>
            </w:r>
          </w:p>
        </w:tc>
      </w:tr>
      <w:tr>
        <w:tc>
          <w:tcPr/>
          <w:p>
            <w:pPr>
              <w:pStyle w:val="Compact"/>
              <w:jc w:val="left"/>
            </w:pPr>
            <w:r>
              <w:rPr>
                <w:bCs/>
                <w:b/>
              </w:rPr>
              <w:t xml:space="preserve">Future Learning</w:t>
            </w:r>
          </w:p>
        </w:tc>
        <w:tc>
          <w:tcPr/>
          <w:p>
            <w:pPr>
              <w:pStyle w:val="Compact"/>
              <w:jc w:val="left"/>
            </w:pPr>
            <w:r>
              <w:t xml:space="preserve">Structured Power BI study (data modeling, Power Query, DAX); PL-300 certification path.</w:t>
            </w:r>
          </w:p>
        </w:tc>
      </w:tr>
      <w:tr>
        <w:tc>
          <w:tcPr/>
          <w:p>
            <w:pPr>
              <w:pStyle w:val="Compact"/>
              <w:jc w:val="left"/>
            </w:pPr>
            <w:r>
              <w:rPr>
                <w:bCs/>
                <w:b/>
              </w:rPr>
              <w:t xml:space="preserve">References</w:t>
            </w:r>
          </w:p>
        </w:tc>
        <w:tc>
          <w:tcPr/>
          <w:p>
            <w:pPr>
              <w:pStyle w:val="Compact"/>
              <w:jc w:val="left"/>
            </w:pPr>
            <w:r>
              <w:t xml:space="preserve">NFCU HR Analytics observation, Week 2</w:t>
            </w:r>
          </w:p>
        </w:tc>
      </w:tr>
    </w:tbl>
    <w:bookmarkEnd w:id="33"/>
    <w:bookmarkStart w:id="34" w:name="de-012-oracle-hcm-observations"/>
    <w:p>
      <w:pPr>
        <w:pStyle w:val="Heading2"/>
      </w:pPr>
      <w:r>
        <w:rPr>
          <w:bCs/>
          <w:b/>
        </w:rPr>
        <w:t xml:space="preserve">DE-012 — Oracle HCM Observations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Definition</w:t>
            </w:r>
          </w:p>
        </w:tc>
        <w:tc>
          <w:tcPr/>
          <w:p>
            <w:pPr>
              <w:pStyle w:val="Compact"/>
              <w:jc w:val="left"/>
            </w:pPr>
            <w:r>
              <w:t xml:space="preserve">Oracle Human Capital Management — the enterprise HR system of record currently used at NFCU.</w:t>
            </w:r>
          </w:p>
        </w:tc>
      </w:tr>
      <w:tr>
        <w:tc>
          <w:tcPr/>
          <w:p>
            <w:pPr>
              <w:pStyle w:val="Compact"/>
              <w:jc w:val="left"/>
            </w:pPr>
            <w:r>
              <w:rPr>
                <w:bCs/>
                <w:b/>
              </w:rPr>
              <w:t xml:space="preserve">Enterprise Use</w:t>
            </w:r>
          </w:p>
        </w:tc>
        <w:tc>
          <w:tcPr/>
          <w:p>
            <w:pPr>
              <w:pStyle w:val="Compact"/>
              <w:jc w:val="left"/>
            </w:pPr>
            <w:r>
              <w:t xml:space="preserve">Stores core HR/personnel data and serves as the operational source system feeding downstream reporting tools (OTBI, BI Publisher).</w:t>
            </w:r>
          </w:p>
        </w:tc>
      </w:tr>
      <w:tr>
        <w:tc>
          <w:tcPr/>
          <w:p>
            <w:pPr>
              <w:pStyle w:val="Compact"/>
              <w:jc w:val="left"/>
            </w:pPr>
            <w:r>
              <w:rPr>
                <w:bCs/>
                <w:b/>
              </w:rPr>
              <w:t xml:space="preserve">NFCU Use</w:t>
            </w:r>
          </w:p>
        </w:tc>
        <w:tc>
          <w:tcPr/>
          <w:p>
            <w:pPr>
              <w:pStyle w:val="Compact"/>
              <w:jc w:val="left"/>
            </w:pPr>
            <w:r>
              <w:t xml:space="preserve">System of record for HR Analytics reporting, currently the starting point of the data pipeline that is evolving toward Databricks and Power BI.</w:t>
            </w:r>
          </w:p>
        </w:tc>
      </w:tr>
      <w:tr>
        <w:tc>
          <w:tcPr/>
          <w:p>
            <w:pPr>
              <w:pStyle w:val="Compact"/>
              <w:jc w:val="left"/>
            </w:pPr>
            <w:r>
              <w:rPr>
                <w:bCs/>
                <w:b/>
              </w:rPr>
              <w:t xml:space="preserve">Federal Government Use</w:t>
            </w:r>
          </w:p>
        </w:tc>
        <w:tc>
          <w:tcPr/>
          <w:p>
            <w:pPr>
              <w:pStyle w:val="Compact"/>
              <w:jc w:val="left"/>
            </w:pPr>
            <w:r>
              <w:t xml:space="preserve">Oracle HCM and comparable HR ERP systems are used across large federal agencies for personnel systems of record.</w:t>
            </w:r>
          </w:p>
        </w:tc>
      </w:tr>
      <w:tr>
        <w:tc>
          <w:tcPr/>
          <w:p>
            <w:pPr>
              <w:pStyle w:val="Compact"/>
              <w:jc w:val="left"/>
            </w:pPr>
            <w:r>
              <w:rPr>
                <w:bCs/>
                <w:b/>
              </w:rPr>
              <w:t xml:space="preserve">Notes</w:t>
            </w:r>
          </w:p>
        </w:tc>
        <w:tc>
          <w:tcPr/>
          <w:p>
            <w:pPr>
              <w:pStyle w:val="Compact"/>
              <w:jc w:val="left"/>
            </w:pPr>
            <w:r>
              <w:t xml:space="preserve">Understanding how Oracle Fusion tables relate to one another (via JOINs) is foundational to understanding how NFCU’s HR reports are constructed.</w:t>
            </w:r>
          </w:p>
        </w:tc>
      </w:tr>
      <w:tr>
        <w:tc>
          <w:tcPr/>
          <w:p>
            <w:pPr>
              <w:pStyle w:val="Compact"/>
              <w:jc w:val="left"/>
            </w:pPr>
            <w:r>
              <w:rPr>
                <w:bCs/>
                <w:b/>
              </w:rPr>
              <w:t xml:space="preserve">Future Learning</w:t>
            </w:r>
          </w:p>
        </w:tc>
        <w:tc>
          <w:tcPr/>
          <w:p>
            <w:pPr>
              <w:pStyle w:val="Compact"/>
              <w:jc w:val="left"/>
            </w:pPr>
            <w:r>
              <w:t xml:space="preserve">Continue learning OTBI and BI Publisher fundamentals as the internship progresses.</w:t>
            </w:r>
          </w:p>
        </w:tc>
      </w:tr>
      <w:tr>
        <w:tc>
          <w:tcPr/>
          <w:p>
            <w:pPr>
              <w:pStyle w:val="Compact"/>
              <w:jc w:val="left"/>
            </w:pPr>
            <w:r>
              <w:rPr>
                <w:bCs/>
                <w:b/>
              </w:rPr>
              <w:t xml:space="preserve">References</w:t>
            </w:r>
          </w:p>
        </w:tc>
        <w:tc>
          <w:tcPr/>
          <w:p>
            <w:pPr>
              <w:pStyle w:val="Compact"/>
              <w:jc w:val="left"/>
            </w:pPr>
            <w:r>
              <w:t xml:space="preserve">NFCU internship observation, ongoing</w:t>
            </w:r>
          </w:p>
        </w:tc>
      </w:tr>
    </w:tbl>
    <w:bookmarkEnd w:id="34"/>
    <w:bookmarkStart w:id="35" w:name="de-013-modern-enterprise-architecture"/>
    <w:p>
      <w:pPr>
        <w:pStyle w:val="Heading2"/>
      </w:pPr>
      <w:r>
        <w:rPr>
          <w:bCs/>
          <w:b/>
        </w:rPr>
        <w:t xml:space="preserve">DE-013 — Modern Enterprise Architecture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Definition</w:t>
            </w:r>
          </w:p>
        </w:tc>
        <w:tc>
          <w:tcPr/>
          <w:p>
            <w:pPr>
              <w:pStyle w:val="Compact"/>
              <w:jc w:val="left"/>
            </w:pPr>
            <w:r>
              <w:t xml:space="preserve">The overall pattern connecting a system of record, a data processing/pipeline layer, and a visualization layer into a coherent analytics architecture.</w:t>
            </w:r>
          </w:p>
        </w:tc>
      </w:tr>
      <w:tr>
        <w:tc>
          <w:tcPr/>
          <w:p>
            <w:pPr>
              <w:pStyle w:val="Compact"/>
              <w:jc w:val="left"/>
            </w:pPr>
            <w:r>
              <w:rPr>
                <w:bCs/>
                <w:b/>
              </w:rPr>
              <w:t xml:space="preserve">Enterprise Use</w:t>
            </w:r>
          </w:p>
        </w:tc>
        <w:tc>
          <w:tcPr/>
          <w:p>
            <w:pPr>
              <w:pStyle w:val="Compact"/>
              <w:jc w:val="left"/>
            </w:pPr>
            <w:r>
              <w:t xml:space="preserve">Provides a scalable, governed path from raw operational data to decision-ready dashboards.</w:t>
            </w:r>
          </w:p>
        </w:tc>
      </w:tr>
      <w:tr>
        <w:tc>
          <w:tcPr/>
          <w:p>
            <w:pPr>
              <w:pStyle w:val="Compact"/>
              <w:jc w:val="left"/>
            </w:pPr>
            <w:r>
              <w:rPr>
                <w:bCs/>
                <w:b/>
              </w:rPr>
              <w:t xml:space="preserve">NFCU Use</w:t>
            </w:r>
          </w:p>
        </w:tc>
        <w:tc>
          <w:tcPr/>
          <w:p>
            <w:pPr>
              <w:pStyle w:val="Compact"/>
              <w:jc w:val="left"/>
            </w:pPr>
            <w:r>
              <w:t xml:space="preserve">Observed pattern: Oracle HCM (system of record) → OTBI/BI Publisher (legacy reporting) → Databricks (processing, in migration) → Power BI (visualization), within the Azure ecosystem.</w:t>
            </w:r>
          </w:p>
        </w:tc>
      </w:tr>
      <w:tr>
        <w:tc>
          <w:tcPr/>
          <w:p>
            <w:pPr>
              <w:pStyle w:val="Compact"/>
              <w:jc w:val="left"/>
            </w:pPr>
            <w:r>
              <w:rPr>
                <w:bCs/>
                <w:b/>
              </w:rPr>
              <w:t xml:space="preserve">Federal Government Use</w:t>
            </w:r>
          </w:p>
        </w:tc>
        <w:tc>
          <w:tcPr/>
          <w:p>
            <w:pPr>
              <w:pStyle w:val="Compact"/>
              <w:jc w:val="left"/>
            </w:pPr>
            <w:r>
              <w:t xml:space="preserve">Mirrors the layered architecture pattern used across federal agencies modernizing legacy reporting infrastructure.</w:t>
            </w:r>
          </w:p>
        </w:tc>
      </w:tr>
      <w:tr>
        <w:tc>
          <w:tcPr/>
          <w:p>
            <w:pPr>
              <w:pStyle w:val="Compact"/>
              <w:jc w:val="left"/>
            </w:pPr>
            <w:r>
              <w:rPr>
                <w:bCs/>
                <w:b/>
              </w:rPr>
              <w:t xml:space="preserve">Notes</w:t>
            </w:r>
          </w:p>
        </w:tc>
        <w:tc>
          <w:tcPr/>
          <w:p>
            <w:pPr>
              <w:pStyle w:val="Compact"/>
              <w:jc w:val="left"/>
            </w:pPr>
            <w:r>
              <w:t xml:space="preserve">SQL is only one component within this much larger ecosystem — successful data engineers understand how data moves throughout the organization rather than simply writing queries.</w:t>
            </w:r>
          </w:p>
        </w:tc>
      </w:tr>
      <w:tr>
        <w:tc>
          <w:tcPr/>
          <w:p>
            <w:pPr>
              <w:pStyle w:val="Compact"/>
              <w:jc w:val="left"/>
            </w:pPr>
            <w:r>
              <w:rPr>
                <w:bCs/>
                <w:b/>
              </w:rPr>
              <w:t xml:space="preserve">Future Learning</w:t>
            </w:r>
          </w:p>
        </w:tc>
        <w:tc>
          <w:tcPr/>
          <w:p>
            <w:pPr>
              <w:pStyle w:val="Compact"/>
              <w:jc w:val="left"/>
            </w:pPr>
            <w:r>
              <w:t xml:space="preserve">Continue observing the Databricks/Power BI migration firsthand throughout the internship.</w:t>
            </w:r>
          </w:p>
        </w:tc>
      </w:tr>
      <w:tr>
        <w:tc>
          <w:tcPr/>
          <w:p>
            <w:pPr>
              <w:pStyle w:val="Compact"/>
              <w:jc w:val="left"/>
            </w:pPr>
            <w:r>
              <w:rPr>
                <w:bCs/>
                <w:b/>
              </w:rPr>
              <w:t xml:space="preserve">References</w:t>
            </w:r>
          </w:p>
        </w:tc>
        <w:tc>
          <w:tcPr/>
          <w:p>
            <w:pPr>
              <w:pStyle w:val="Compact"/>
              <w:jc w:val="left"/>
            </w:pPr>
            <w:r>
              <w:t xml:space="preserve">NFCU HR Analytics observation, Week 2</w:t>
            </w:r>
          </w:p>
        </w:tc>
      </w:tr>
    </w:tbl>
    <w:bookmarkEnd w:id="35"/>
    <w:bookmarkEnd w:id="36"/>
    <w:bookmarkStart w:id="37" w:name="future-topics-queue"/>
    <w:p>
      <w:pPr>
        <w:pStyle w:val="Heading1"/>
      </w:pPr>
      <w:r>
        <w:rPr>
          <w:bCs/>
          <w:b/>
        </w:rPr>
        <w:t xml:space="preserve">Future Topics Queue</w:t>
      </w:r>
    </w:p>
    <w:p>
      <w:pPr>
        <w:pStyle w:val="FirstParagraph"/>
      </w:pPr>
      <w:r>
        <w:t xml:space="preserve">Reserved for upcoming missions as study expands beyond SQL and current Data Engineering foundations:</w:t>
      </w:r>
    </w:p>
    <w:p>
      <w:pPr>
        <w:numPr>
          <w:ilvl w:val="0"/>
          <w:numId w:val="1001"/>
        </w:numPr>
      </w:pPr>
      <w:r>
        <w:t xml:space="preserve">Python for Data Engineering (pandas, automation, scripting)</w:t>
      </w:r>
    </w:p>
    <w:p>
      <w:pPr>
        <w:numPr>
          <w:ilvl w:val="0"/>
          <w:numId w:val="1001"/>
        </w:numPr>
      </w:pPr>
      <w:r>
        <w:t xml:space="preserve">Power Automate workflow automation</w:t>
      </w:r>
    </w:p>
    <w:p>
      <w:pPr>
        <w:numPr>
          <w:ilvl w:val="0"/>
          <w:numId w:val="1001"/>
        </w:numPr>
      </w:pPr>
      <w:r>
        <w:t xml:space="preserve">Aggregate functions, GROUP BY, HAVING (Week 3)</w:t>
      </w:r>
    </w:p>
    <w:p>
      <w:pPr>
        <w:numPr>
          <w:ilvl w:val="0"/>
          <w:numId w:val="1001"/>
        </w:numPr>
      </w:pPr>
      <w:r>
        <w:t xml:space="preserve">OTBI and BI Publisher technical fundamentals</w:t>
      </w:r>
    </w:p>
    <w:p>
      <w:pPr>
        <w:numPr>
          <w:ilvl w:val="0"/>
          <w:numId w:val="1001"/>
        </w:numPr>
      </w:pPr>
      <w:r>
        <w:t xml:space="preserve">Power BI data modeling, Power Query, DAX</w:t>
      </w:r>
    </w:p>
    <w:p>
      <w:pPr>
        <w:numPr>
          <w:ilvl w:val="0"/>
          <w:numId w:val="1001"/>
        </w:numPr>
      </w:pPr>
      <w:r>
        <w:t xml:space="preserve">Azure Data Fundamentals (DP-900) study track</w:t>
      </w:r>
    </w:p>
    <w:p>
      <w:pPr>
        <w:pStyle w:val="FirstParagraph"/>
      </w:pPr>
      <w:r>
        <w:t xml:space="preserve">UNCLASSIFIED | Page of</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2026-08-13T20:32:34Z</dcterms:created>
  <dcterms:modified xsi:type="dcterms:W3CDTF">2026-08-13T20:32:34Z</dcterms:modified>
</cp:coreProperties>
</file>

<file path=docProps/custom.xml><?xml version="1.0" encoding="utf-8"?>
<Properties xmlns="http://schemas.openxmlformats.org/officeDocument/2006/custom-properties" xmlns:vt="http://schemas.openxmlformats.org/officeDocument/2006/docPropsVTypes"/>
</file>