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C55A11"/>
          <w:sz w:val="26"/>
          <w:szCs w:val="26"/>
        </w:rPr>
        <w:t xml:space="preserve">CamTech University</w:t>
      </w:r>
    </w:p>
    <w:p>
      <w:pPr>
        <w:spacing w:after="40"/>
        <w:jc w:val="center"/>
      </w:pPr>
      <w:r>
        <w:rPr>
          <w:color w:val="595959"/>
          <w:sz w:val="22"/>
          <w:szCs w:val="22"/>
        </w:rPr>
        <w:t xml:space="preserve">Department of Software Engineering</w:t>
      </w:r>
    </w:p>
    <w:p>
      <w:pPr>
        <w:spacing w:after="120" w:before="700"/>
        <w:jc w:val="center"/>
      </w:pPr>
      <w:r>
        <w:rPr>
          <w:b/>
          <w:bCs/>
          <w:color w:val="1F3864"/>
          <w:sz w:val="52"/>
          <w:szCs w:val="52"/>
        </w:rPr>
        <w:t xml:space="preserve">Practical AI for Software Engineering</w:t>
      </w:r>
    </w:p>
    <w:p>
      <w:pPr>
        <w:spacing w:after="60"/>
        <w:jc w:val="center"/>
      </w:pPr>
      <w:r>
        <w:rPr>
          <w:i/>
          <w:iCs/>
          <w:color w:val="2E5496"/>
          <w:sz w:val="30"/>
          <w:szCs w:val="30"/>
        </w:rPr>
        <w:t xml:space="preserve">Course Syllabus</w:t>
      </w:r>
    </w:p>
    <w:p>
      <w:pPr>
        <w:spacing w:after="40"/>
        <w:jc w:val="center"/>
      </w:pPr>
      <w:r>
        <w:rPr>
          <w:color w:val="595959"/>
          <w:sz w:val="22"/>
          <w:szCs w:val="22"/>
        </w:rPr>
        <w:t xml:space="preserve">Year 3 · Undergraduate · 10 Weeks (20 Sessions)</w:t>
      </w:r>
    </w:p>
    <w:p>
      <w:pPr>
        <w:pBdr>
          <w:top w:val="single" w:color="D9E2F3" w:sz="6"/>
        </w:pBdr>
        <w:spacing w:before="900"/>
        <w:jc w:val="center"/>
      </w:pPr>
      <w:r>
        <w:rPr>
          <w:i/>
          <w:iCs/>
          <w:color w:val="808080"/>
          <w:sz w:val="20"/>
          <w:szCs w:val="20"/>
        </w:rPr>
        <w:t xml:space="preserve">Adapted from DataCamp's “Associate AI Engineer for Developers” track</w:t>
      </w:r>
    </w:p>
    <w:p>
      <w:r>
        <w:br w:type="page"/>
      </w:r>
    </w:p>
    <w:p>
      <w:pPr>
        <w:pStyle w:val="Heading1"/>
        <w:spacing w:after="140" w:before="320"/>
      </w:pPr>
      <w:r>
        <w:rPr>
          <w:b/>
          <w:bCs/>
          <w:color w:val="1F3864"/>
          <w:sz w:val="30"/>
          <w:szCs w:val="30"/>
        </w:rPr>
        <w:t xml:space="preserve">Course Description</w:t>
      </w:r>
    </w:p>
    <w:p>
      <w:pPr>
        <w:spacing w:after="120" w:line="276"/>
      </w:pPr>
      <w:r>
        <w:rPr>
          <w:sz w:val="22"/>
          <w:szCs w:val="22"/>
        </w:rPr>
        <w:t xml:space="preserve">Practical AI for Software Engineering is a hands-on, project-driven course that teaches students how to build real software powered by large language models (LLMs) and modern AI services. Rather than focusing on the mathematics of machine learning, the course takes an engineer's perspective: how to integrate AI into applications using APIs and open-source libraries, how to design reliable prompts, how to ground models in your own data, and how to deploy and maintain AI systems in production.</w:t>
      </w:r>
    </w:p>
    <w:p>
      <w:pPr>
        <w:spacing w:after="120" w:line="276"/>
      </w:pPr>
      <w:r>
        <w:rPr>
          <w:sz w:val="22"/>
          <w:szCs w:val="22"/>
        </w:rPr>
        <w:t xml:space="preserve">Over ten weeks, students progress from their first API call to a complete, production-style AI application. Along the way they work with the OpenAI API, Hugging Face, embeddings and vector databases (Pinecone), retrieval-augmented generation (RAG), the LangChain framework, and the Model Context Protocol (MCP), while applying software engineering best practices throughout. The course mirrors and extends DataCamp's Associate AI Engineer for Developers track, giving students a clear pathway toward industry certification.</w:t>
      </w:r>
    </w:p>
    <w:p>
      <w:pPr>
        <w:pStyle w:val="Heading1"/>
        <w:spacing w:after="140" w:before="320"/>
      </w:pPr>
      <w:r>
        <w:rPr>
          <w:b/>
          <w:bCs/>
          <w:color w:val="1F3864"/>
          <w:sz w:val="30"/>
          <w:szCs w:val="30"/>
        </w:rPr>
        <w:t xml:space="preserve">Course Learning Outcomes</w:t>
      </w:r>
    </w:p>
    <w:p>
      <w:pPr>
        <w:spacing w:after="80" w:line="276"/>
      </w:pPr>
      <w:r>
        <w:rPr>
          <w:sz w:val="22"/>
          <w:szCs w:val="22"/>
        </w:rPr>
        <w:t xml:space="preserve">By the end of this course, students will be able to:</w:t>
      </w:r>
    </w:p>
    <w:p>
      <w:pPr>
        <w:pStyle w:val="ListParagraph"/>
        <w:numPr>
          <w:ilvl w:val="0"/>
          <w:numId w:val="2"/>
        </w:numPr>
        <w:spacing w:after="60" w:line="268"/>
      </w:pPr>
      <w:r>
        <w:rPr>
          <w:sz w:val="22"/>
          <w:szCs w:val="22"/>
        </w:rPr>
        <w:t xml:space="preserve">Integrate LLM capabilities into software applications using the OpenAI API and open-source models.</w:t>
      </w:r>
    </w:p>
    <w:p>
      <w:pPr>
        <w:pStyle w:val="ListParagraph"/>
        <w:numPr>
          <w:ilvl w:val="0"/>
          <w:numId w:val="2"/>
        </w:numPr>
        <w:spacing w:after="60" w:line="268"/>
      </w:pPr>
      <w:r>
        <w:rPr>
          <w:sz w:val="22"/>
          <w:szCs w:val="22"/>
        </w:rPr>
        <w:t xml:space="preserve">Apply prompt engineering techniques to reliably control and structure model outputs.</w:t>
      </w:r>
    </w:p>
    <w:p>
      <w:pPr>
        <w:pStyle w:val="ListParagraph"/>
        <w:numPr>
          <w:ilvl w:val="0"/>
          <w:numId w:val="2"/>
        </w:numPr>
        <w:spacing w:after="60" w:line="268"/>
      </w:pPr>
      <w:r>
        <w:rPr>
          <w:sz w:val="22"/>
          <w:szCs w:val="22"/>
        </w:rPr>
        <w:t xml:space="preserve">Build semantic search, recommendation, and retrieval-augmented generation (RAG) systems using embeddings and vector databases.</w:t>
      </w:r>
    </w:p>
    <w:p>
      <w:pPr>
        <w:pStyle w:val="ListParagraph"/>
        <w:numPr>
          <w:ilvl w:val="0"/>
          <w:numId w:val="2"/>
        </w:numPr>
        <w:spacing w:after="60" w:line="268"/>
      </w:pPr>
      <w:r>
        <w:rPr>
          <w:sz w:val="22"/>
          <w:szCs w:val="22"/>
        </w:rPr>
        <w:t xml:space="preserve">Orchestrate multi-step AI workflows and agents with LangChain and the Model Context Protocol (MCP).</w:t>
      </w:r>
    </w:p>
    <w:p>
      <w:pPr>
        <w:pStyle w:val="ListParagraph"/>
        <w:numPr>
          <w:ilvl w:val="0"/>
          <w:numId w:val="2"/>
        </w:numPr>
        <w:spacing w:after="60" w:line="268"/>
      </w:pPr>
      <w:r>
        <w:rPr>
          <w:sz w:val="22"/>
          <w:szCs w:val="22"/>
        </w:rPr>
        <w:t xml:space="preserve">Apply LLMOps and software engineering practices — testing, monitoring, cost control, and documentation — to deploy production-ready AI systems.</w:t>
      </w:r>
    </w:p>
    <w:p>
      <w:pPr>
        <w:pStyle w:val="ListParagraph"/>
        <w:numPr>
          <w:ilvl w:val="0"/>
          <w:numId w:val="2"/>
        </w:numPr>
        <w:spacing w:after="60" w:line="268"/>
      </w:pPr>
      <w:r>
        <w:rPr>
          <w:sz w:val="22"/>
          <w:szCs w:val="22"/>
        </w:rPr>
        <w:t xml:space="preserve">Design, build, and present an end-to-end AI-powered application as a capstone project.</w:t>
      </w:r>
    </w:p>
    <w:p>
      <w:pPr>
        <w:pStyle w:val="Heading1"/>
        <w:spacing w:after="140" w:before="320"/>
      </w:pPr>
      <w:r>
        <w:rPr>
          <w:b/>
          <w:bCs/>
          <w:color w:val="1F3864"/>
          <w:sz w:val="30"/>
          <w:szCs w:val="30"/>
        </w:rP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Course Title</w:t>
            </w:r>
          </w:p>
        </w:tc>
        <w:tc>
          <w:tcPr>
            <w:tcW w:type="dxa" w:w="6760"/>
            <w:shd w:fill="FFFFFF" w:color="auto" w:val="clear"/>
            <w:tcMar>
              <w:top w:type="dxa" w:w="60"/>
              <w:left w:type="dxa" w:w="90"/>
              <w:bottom w:type="dxa" w:w="60"/>
              <w:right w:type="dxa" w:w="90"/>
            </w:tcMar>
          </w:tcPr>
          <w:p>
            <w:pPr>
              <w:spacing w:after="20" w:line="258"/>
            </w:pPr>
            <w:r>
              <w:rPr>
                <w:sz w:val="19"/>
                <w:szCs w:val="19"/>
              </w:rPr>
              <w:t xml:space="preserve">Practical AI for Software Engineering</w:t>
            </w:r>
          </w:p>
        </w:tc>
      </w:tr>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Level / Year</w:t>
            </w:r>
          </w:p>
        </w:tc>
        <w:tc>
          <w:tcPr>
            <w:tcW w:type="dxa" w:w="6760"/>
            <w:shd w:fill="F2F2F2" w:color="auto" w:val="clear"/>
            <w:tcMar>
              <w:top w:type="dxa" w:w="60"/>
              <w:left w:type="dxa" w:w="90"/>
              <w:bottom w:type="dxa" w:w="60"/>
              <w:right w:type="dxa" w:w="90"/>
            </w:tcMar>
          </w:tcPr>
          <w:p>
            <w:pPr>
              <w:spacing w:after="20" w:line="258"/>
            </w:pPr>
            <w:r>
              <w:rPr>
                <w:sz w:val="19"/>
                <w:szCs w:val="19"/>
              </w:rPr>
              <w:t xml:space="preserve">Year 3, Undergraduate — Software Engineering</w:t>
            </w:r>
          </w:p>
        </w:tc>
      </w:tr>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Duration</w:t>
            </w:r>
          </w:p>
        </w:tc>
        <w:tc>
          <w:tcPr>
            <w:tcW w:type="dxa" w:w="6760"/>
            <w:shd w:fill="FFFFFF" w:color="auto" w:val="clear"/>
            <w:tcMar>
              <w:top w:type="dxa" w:w="60"/>
              <w:left w:type="dxa" w:w="90"/>
              <w:bottom w:type="dxa" w:w="60"/>
              <w:right w:type="dxa" w:w="90"/>
            </w:tcMar>
          </w:tcPr>
          <w:p>
            <w:pPr>
              <w:spacing w:after="20" w:line="258"/>
            </w:pPr>
            <w:r>
              <w:rPr>
                <w:sz w:val="19"/>
                <w:szCs w:val="19"/>
              </w:rPr>
              <w:t xml:space="preserve">10 weeks · 2 sessions per week · 20 sessions total</w:t>
            </w:r>
          </w:p>
        </w:tc>
      </w:tr>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Prerequisites</w:t>
            </w:r>
          </w:p>
        </w:tc>
        <w:tc>
          <w:tcPr>
            <w:tcW w:type="dxa" w:w="6760"/>
            <w:shd w:fill="F2F2F2" w:color="auto" w:val="clear"/>
            <w:tcMar>
              <w:top w:type="dxa" w:w="60"/>
              <w:left w:type="dxa" w:w="90"/>
              <w:bottom w:type="dxa" w:w="60"/>
              <w:right w:type="dxa" w:w="90"/>
            </w:tcMar>
          </w:tcPr>
          <w:p>
            <w:pPr>
              <w:spacing w:after="20" w:line="258"/>
            </w:pPr>
            <w:r>
              <w:rPr>
                <w:sz w:val="19"/>
                <w:szCs w:val="19"/>
              </w:rPr>
              <w:t xml:space="preserve">Programming fundamentals &amp; Python; basic knowledge of APIs and Git. No prior AI/ML experience required.</w:t>
            </w:r>
          </w:p>
        </w:tc>
      </w:tr>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Delivery Mode</w:t>
            </w:r>
          </w:p>
        </w:tc>
        <w:tc>
          <w:tcPr>
            <w:tcW w:type="dxa" w:w="6760"/>
            <w:shd w:fill="FFFFFF" w:color="auto" w:val="clear"/>
            <w:tcMar>
              <w:top w:type="dxa" w:w="60"/>
              <w:left w:type="dxa" w:w="90"/>
              <w:bottom w:type="dxa" w:w="60"/>
              <w:right w:type="dxa" w:w="90"/>
            </w:tcMar>
          </w:tcPr>
          <w:p>
            <w:pPr>
              <w:spacing w:after="20" w:line="258"/>
            </w:pPr>
            <w:r>
              <w:rPr>
                <w:sz w:val="19"/>
                <w:szCs w:val="19"/>
              </w:rPr>
              <w:t xml:space="preserve">Lecture + live coding + weekly hands-on lab</w:t>
            </w:r>
          </w:p>
        </w:tc>
      </w:tr>
      <w:tr>
        <w:tc>
          <w:tcPr>
            <w:tcW w:type="dxa" w:w="2600"/>
            <w:shd w:fill="2E5496" w:color="auto" w:val="clear"/>
            <w:tcMar>
              <w:top w:type="dxa" w:w="60"/>
              <w:left w:type="dxa" w:w="90"/>
              <w:bottom w:type="dxa" w:w="60"/>
              <w:right w:type="dxa" w:w="90"/>
            </w:tcMar>
          </w:tcPr>
          <w:p>
            <w:pPr>
              <w:spacing w:after="20" w:line="258"/>
            </w:pPr>
            <w:r>
              <w:rPr>
                <w:b/>
                <w:bCs/>
                <w:color w:val="FFFFFF"/>
                <w:sz w:val="19"/>
                <w:szCs w:val="19"/>
              </w:rPr>
              <w:t xml:space="preserve">Primary Resource</w:t>
            </w:r>
          </w:p>
        </w:tc>
        <w:tc>
          <w:tcPr>
            <w:tcW w:type="dxa" w:w="6760"/>
            <w:shd w:fill="F2F2F2" w:color="auto" w:val="clear"/>
            <w:tcMar>
              <w:top w:type="dxa" w:w="60"/>
              <w:left w:type="dxa" w:w="90"/>
              <w:bottom w:type="dxa" w:w="60"/>
              <w:right w:type="dxa" w:w="90"/>
            </w:tcMar>
          </w:tcPr>
          <w:p>
            <w:pPr>
              <w:spacing w:after="20" w:line="258"/>
            </w:pPr>
            <w:r>
              <w:rPr>
                <w:sz w:val="19"/>
                <w:szCs w:val="19"/>
              </w:rPr>
              <w:t xml:space="preserve">DataCamp — Associate AI Engineer for Developers track</w:t>
            </w:r>
          </w:p>
        </w:tc>
      </w:tr>
    </w:tbl>
    <w:p>
      <w:r>
        <w:br w:type="page"/>
      </w:r>
    </w:p>
    <w:p>
      <w:pPr>
        <w:pStyle w:val="Heading1"/>
        <w:spacing w:after="140" w:before="320"/>
      </w:pPr>
      <w:r>
        <w:rPr>
          <w:b/>
          <w:bCs/>
          <w:color w:val="1F3864"/>
          <w:sz w:val="30"/>
          <w:szCs w:val="30"/>
        </w:rPr>
        <w:t xml:space="preserve">Tools &amp; Technologies</w:t>
      </w:r>
    </w:p>
    <w:p>
      <w:pPr>
        <w:spacing w:after="80" w:line="276"/>
      </w:pPr>
      <w:r>
        <w:rPr>
          <w:sz w:val="22"/>
          <w:szCs w:val="22"/>
        </w:rPr>
        <w:t xml:space="preserve">Students will gain hands-on experience with the standard toolkit of a working AI engineer:</w:t>
      </w:r>
    </w:p>
    <w:p>
      <w:pPr>
        <w:pStyle w:val="ListParagraph"/>
        <w:numPr>
          <w:ilvl w:val="0"/>
          <w:numId w:val="2"/>
        </w:numPr>
        <w:spacing w:after="60" w:line="268"/>
      </w:pPr>
      <w:r>
        <w:rPr>
          <w:sz w:val="22"/>
          <w:szCs w:val="22"/>
        </w:rPr>
        <w:t xml:space="preserve">OpenAI API (Chat Completions, Responses API, function calling) — for leveraging GPT-class models.</w:t>
      </w:r>
    </w:p>
    <w:p>
      <w:pPr>
        <w:pStyle w:val="ListParagraph"/>
        <w:numPr>
          <w:ilvl w:val="0"/>
          <w:numId w:val="2"/>
        </w:numPr>
        <w:spacing w:after="60" w:line="268"/>
      </w:pPr>
      <w:r>
        <w:rPr>
          <w:sz w:val="22"/>
          <w:szCs w:val="22"/>
        </w:rPr>
        <w:t xml:space="preserve">Hugging Face — repository of pre-trained models and datasets for open-source NLP.</w:t>
      </w:r>
    </w:p>
    <w:p>
      <w:pPr>
        <w:pStyle w:val="ListParagraph"/>
        <w:numPr>
          <w:ilvl w:val="0"/>
          <w:numId w:val="2"/>
        </w:numPr>
        <w:spacing w:after="60" w:line="268"/>
      </w:pPr>
      <w:r>
        <w:rPr>
          <w:sz w:val="22"/>
          <w:szCs w:val="22"/>
        </w:rPr>
        <w:t xml:space="preserve">Embeddings &amp; Pinecone — vector representations and a vector database for similarity search.</w:t>
      </w:r>
    </w:p>
    <w:p>
      <w:pPr>
        <w:pStyle w:val="ListParagraph"/>
        <w:numPr>
          <w:ilvl w:val="0"/>
          <w:numId w:val="2"/>
        </w:numPr>
        <w:spacing w:after="60" w:line="268"/>
      </w:pPr>
      <w:r>
        <w:rPr>
          <w:sz w:val="22"/>
          <w:szCs w:val="22"/>
        </w:rPr>
        <w:t xml:space="preserve">LangChain — building applications with prompts, chains, memory, and agents.</w:t>
      </w:r>
    </w:p>
    <w:p>
      <w:pPr>
        <w:pStyle w:val="ListParagraph"/>
        <w:numPr>
          <w:ilvl w:val="0"/>
          <w:numId w:val="2"/>
        </w:numPr>
        <w:spacing w:after="60" w:line="268"/>
      </w:pPr>
      <w:r>
        <w:rPr>
          <w:sz w:val="22"/>
          <w:szCs w:val="22"/>
        </w:rPr>
        <w:t xml:space="preserve">Model Context Protocol (MCP) — connecting AI applications to APIs, databases, and filesystems.</w:t>
      </w:r>
    </w:p>
    <w:p>
      <w:pPr>
        <w:pStyle w:val="ListParagraph"/>
        <w:numPr>
          <w:ilvl w:val="0"/>
          <w:numId w:val="2"/>
        </w:numPr>
        <w:spacing w:after="60" w:line="268"/>
      </w:pPr>
      <w:r>
        <w:rPr>
          <w:sz w:val="22"/>
          <w:szCs w:val="22"/>
        </w:rPr>
        <w:t xml:space="preserve">Python, Git &amp; standard SE practices — modular, tested, documented code.</w:t>
      </w:r>
    </w:p>
    <w:p>
      <w:pPr>
        <w:pStyle w:val="Heading1"/>
        <w:spacing w:after="140" w:before="320"/>
      </w:pPr>
      <w:r>
        <w:rPr>
          <w:b/>
          <w:bCs/>
          <w:color w:val="1F3864"/>
          <w:sz w:val="30"/>
          <w:szCs w:val="30"/>
        </w:rPr>
        <w:t xml:space="preserve">Weekly Schedule</w:t>
      </w:r>
    </w:p>
    <w:p>
      <w:pPr>
        <w:spacing w:after="120" w:line="276"/>
      </w:pPr>
      <w:r>
        <w:rPr>
          <w:sz w:val="22"/>
          <w:szCs w:val="22"/>
        </w:rPr>
        <w:t xml:space="preserve">Each week comprises two sessions (lecture + live coding) and one graded lab or milestone. Modules map to the corresponding DataCamp courses for supplementary self-study.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3600"/>
        <w:gridCol w:w="2340"/>
        <w:gridCol w:w="1100"/>
      </w:tblGrid>
      <w:tr>
        <w:trPr>
          <w:tblHeader/>
        </w:trPr>
        <w:tc>
          <w:tcPr>
            <w:tcW w:type="dxa" w:w="620"/>
            <w:shd w:fill="1F3864" w:color="auto" w:val="clear"/>
            <w:tcMar>
              <w:top w:type="dxa" w:w="60"/>
              <w:left w:type="dxa" w:w="90"/>
              <w:bottom w:type="dxa" w:w="60"/>
              <w:right w:type="dxa" w:w="90"/>
            </w:tcMar>
          </w:tcPr>
          <w:p>
            <w:pPr>
              <w:spacing w:after="20" w:line="260"/>
              <w:jc w:val="center"/>
            </w:pPr>
            <w:r>
              <w:rPr>
                <w:b/>
                <w:bCs/>
                <w:color w:val="FFFFFF"/>
                <w:sz w:val="19"/>
                <w:szCs w:val="19"/>
              </w:rPr>
              <w:t xml:space="preserve">Wk</w:t>
            </w:r>
          </w:p>
        </w:tc>
        <w:tc>
          <w:tcPr>
            <w:tcW w:type="dxa" w:w="1700"/>
            <w:shd w:fill="1F3864" w:color="auto" w:val="clear"/>
            <w:tcMar>
              <w:top w:type="dxa" w:w="60"/>
              <w:left w:type="dxa" w:w="90"/>
              <w:bottom w:type="dxa" w:w="60"/>
              <w:right w:type="dxa" w:w="90"/>
            </w:tcMar>
          </w:tcPr>
          <w:p>
            <w:pPr>
              <w:spacing w:after="20" w:line="260"/>
            </w:pPr>
            <w:r>
              <w:rPr>
                <w:b/>
                <w:bCs/>
                <w:color w:val="FFFFFF"/>
                <w:sz w:val="19"/>
                <w:szCs w:val="19"/>
              </w:rPr>
              <w:t xml:space="preserve">Theme</w:t>
            </w:r>
          </w:p>
        </w:tc>
        <w:tc>
          <w:tcPr>
            <w:tcW w:type="dxa" w:w="3600"/>
            <w:shd w:fill="1F3864" w:color="auto" w:val="clear"/>
            <w:tcMar>
              <w:top w:type="dxa" w:w="60"/>
              <w:left w:type="dxa" w:w="90"/>
              <w:bottom w:type="dxa" w:w="60"/>
              <w:right w:type="dxa" w:w="90"/>
            </w:tcMar>
          </w:tcPr>
          <w:p>
            <w:pPr>
              <w:spacing w:after="20" w:line="260"/>
            </w:pPr>
            <w:r>
              <w:rPr>
                <w:b/>
                <w:bCs/>
                <w:color w:val="FFFFFF"/>
                <w:sz w:val="19"/>
                <w:szCs w:val="19"/>
              </w:rPr>
              <w:t xml:space="preserve">Sessions (2 per week)</w:t>
            </w:r>
          </w:p>
        </w:tc>
        <w:tc>
          <w:tcPr>
            <w:tcW w:type="dxa" w:w="2340"/>
            <w:shd w:fill="1F3864" w:color="auto" w:val="clear"/>
            <w:tcMar>
              <w:top w:type="dxa" w:w="60"/>
              <w:left w:type="dxa" w:w="90"/>
              <w:bottom w:type="dxa" w:w="60"/>
              <w:right w:type="dxa" w:w="90"/>
            </w:tcMar>
          </w:tcPr>
          <w:p>
            <w:pPr>
              <w:spacing w:after="20" w:line="260"/>
            </w:pPr>
            <w:r>
              <w:rPr>
                <w:b/>
                <w:bCs/>
                <w:color w:val="FFFFFF"/>
                <w:sz w:val="19"/>
                <w:szCs w:val="19"/>
              </w:rPr>
              <w:t xml:space="preserve">Lab / Milestone</w:t>
            </w:r>
          </w:p>
        </w:tc>
        <w:tc>
          <w:tcPr>
            <w:tcW w:type="dxa" w:w="1100"/>
            <w:shd w:fill="1F3864" w:color="auto" w:val="clear"/>
            <w:tcMar>
              <w:top w:type="dxa" w:w="60"/>
              <w:left w:type="dxa" w:w="90"/>
              <w:bottom w:type="dxa" w:w="60"/>
              <w:right w:type="dxa" w:w="90"/>
            </w:tcMar>
          </w:tcPr>
          <w:p>
            <w:pPr>
              <w:spacing w:after="20" w:line="260"/>
            </w:pPr>
            <w:r>
              <w:rPr>
                <w:b/>
                <w:bCs/>
                <w:color w:val="FFFFFF"/>
                <w:sz w:val="19"/>
                <w:szCs w:val="19"/>
              </w:rPr>
              <w:t xml:space="preserve">DataCamp Module</w:t>
            </w:r>
          </w:p>
        </w:tc>
      </w:tr>
      <w:tr>
        <w:tc>
          <w:tcPr>
            <w:tcW w:type="dxa" w:w="62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1</w:t>
            </w:r>
          </w:p>
        </w:tc>
        <w:tc>
          <w:tcPr>
            <w:tcW w:type="dxa" w:w="1700"/>
            <w:shd w:fill="FFFFFF" w:color="auto" w:val="clear"/>
            <w:tcMar>
              <w:top w:type="dxa" w:w="60"/>
              <w:left w:type="dxa" w:w="90"/>
              <w:bottom w:type="dxa" w:w="60"/>
              <w:right w:type="dxa" w:w="90"/>
            </w:tcMar>
          </w:tcPr>
          <w:p>
            <w:pPr>
              <w:spacing w:after="20" w:line="258"/>
            </w:pPr>
            <w:r>
              <w:rPr>
                <w:b/>
                <w:bCs/>
                <w:color w:val="2E5496"/>
                <w:sz w:val="19"/>
                <w:szCs w:val="19"/>
              </w:rPr>
              <w:t xml:space="preserve">Foundations of Applied AI</w:t>
            </w:r>
          </w:p>
        </w:tc>
        <w:tc>
          <w:tcPr>
            <w:tcW w:type="dxa" w:w="3600"/>
            <w:shd w:fill="FFFFFF" w:color="auto" w:val="clear"/>
            <w:tcMar>
              <w:top w:type="dxa" w:w="60"/>
              <w:left w:type="dxa" w:w="90"/>
              <w:bottom w:type="dxa" w:w="60"/>
              <w:right w:type="dxa" w:w="90"/>
            </w:tcMar>
          </w:tcPr>
          <w:p>
            <w:pPr>
              <w:spacing w:after="20" w:line="258"/>
            </w:pPr>
            <w:r>
              <w:rPr>
                <w:sz w:val="19"/>
                <w:szCs w:val="19"/>
              </w:rPr>
              <w:t xml:space="preserve">Session 1: Course overview; the AI engineer (developer) role; the modern LLM application stack; how GenAI fits into software systems.</w:t>
            </w:r>
          </w:p>
          <w:p>
            <w:pPr>
              <w:spacing w:after="20" w:line="258"/>
            </w:pPr>
            <w:r>
              <w:rPr>
                <w:sz w:val="19"/>
                <w:szCs w:val="19"/>
              </w:rPr>
              <w:t xml:space="preserve">Session 2: LLM fundamentals: tokens, context windows, temperature, model families; environment setup, API keys, and your first API call.</w:t>
            </w:r>
          </w:p>
        </w:tc>
        <w:tc>
          <w:tcPr>
            <w:tcW w:type="dxa" w:w="2340"/>
            <w:shd w:fill="FFFFFF" w:color="auto" w:val="clear"/>
            <w:tcMar>
              <w:top w:type="dxa" w:w="60"/>
              <w:left w:type="dxa" w:w="90"/>
              <w:bottom w:type="dxa" w:w="60"/>
              <w:right w:type="dxa" w:w="90"/>
            </w:tcMar>
          </w:tcPr>
          <w:p>
            <w:pPr>
              <w:spacing w:after="20" w:line="258"/>
            </w:pPr>
            <w:r>
              <w:rPr>
                <w:sz w:val="19"/>
                <w:szCs w:val="19"/>
              </w:rPr>
              <w:t xml:space="preserve">Lab 0 — Environment setup &amp; first completion</w:t>
            </w:r>
          </w:p>
        </w:tc>
        <w:tc>
          <w:tcPr>
            <w:tcW w:type="dxa" w:w="1100"/>
            <w:shd w:fill="FFFFFF" w:color="auto" w:val="clear"/>
            <w:tcMar>
              <w:top w:type="dxa" w:w="60"/>
              <w:left w:type="dxa" w:w="90"/>
              <w:bottom w:type="dxa" w:w="60"/>
              <w:right w:type="dxa" w:w="90"/>
            </w:tcMar>
          </w:tcPr>
          <w:p>
            <w:pPr>
              <w:spacing w:after="20" w:line="258"/>
            </w:pPr>
            <w:r>
              <w:rPr>
                <w:i/>
                <w:iCs/>
                <w:sz w:val="19"/>
                <w:szCs w:val="19"/>
              </w:rPr>
              <w:t xml:space="preserve">LLM Concepts; OpenAI API</w:t>
            </w:r>
          </w:p>
        </w:tc>
      </w:tr>
      <w:tr>
        <w:tc>
          <w:tcPr>
            <w:tcW w:type="dxa" w:w="62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2</w:t>
            </w:r>
          </w:p>
        </w:tc>
        <w:tc>
          <w:tcPr>
            <w:tcW w:type="dxa" w:w="1700"/>
            <w:shd w:fill="F2F2F2" w:color="auto" w:val="clear"/>
            <w:tcMar>
              <w:top w:type="dxa" w:w="60"/>
              <w:left w:type="dxa" w:w="90"/>
              <w:bottom w:type="dxa" w:w="60"/>
              <w:right w:type="dxa" w:w="90"/>
            </w:tcMar>
          </w:tcPr>
          <w:p>
            <w:pPr>
              <w:spacing w:after="20" w:line="258"/>
            </w:pPr>
            <w:r>
              <w:rPr>
                <w:b/>
                <w:bCs/>
                <w:color w:val="2E5496"/>
                <w:sz w:val="19"/>
                <w:szCs w:val="19"/>
              </w:rPr>
              <w:t xml:space="preserve">Working with the OpenAI API</w:t>
            </w:r>
          </w:p>
        </w:tc>
        <w:tc>
          <w:tcPr>
            <w:tcW w:type="dxa" w:w="3600"/>
            <w:shd w:fill="F2F2F2" w:color="auto" w:val="clear"/>
            <w:tcMar>
              <w:top w:type="dxa" w:w="60"/>
              <w:left w:type="dxa" w:w="90"/>
              <w:bottom w:type="dxa" w:w="60"/>
              <w:right w:type="dxa" w:w="90"/>
            </w:tcMar>
          </w:tcPr>
          <w:p>
            <w:pPr>
              <w:spacing w:after="20" w:line="258"/>
            </w:pPr>
            <w:r>
              <w:rPr>
                <w:sz w:val="19"/>
                <w:szCs w:val="19"/>
              </w:rPr>
              <w:t xml:space="preserve">Session 1: Chat completions API: roles (system/user/assistant), messages, parameters; controlling output length and determinism.</w:t>
            </w:r>
          </w:p>
          <w:p>
            <w:pPr>
              <w:spacing w:after="20" w:line="258"/>
            </w:pPr>
            <w:r>
              <w:rPr>
                <w:sz w:val="19"/>
                <w:szCs w:val="19"/>
              </w:rPr>
              <w:t xml:space="preserve">Session 2: Robust API use: error handling, rate limits, retries, token/cost management; streaming responses.</w:t>
            </w:r>
          </w:p>
        </w:tc>
        <w:tc>
          <w:tcPr>
            <w:tcW w:type="dxa" w:w="2340"/>
            <w:shd w:fill="F2F2F2" w:color="auto" w:val="clear"/>
            <w:tcMar>
              <w:top w:type="dxa" w:w="60"/>
              <w:left w:type="dxa" w:w="90"/>
              <w:bottom w:type="dxa" w:w="60"/>
              <w:right w:type="dxa" w:w="90"/>
            </w:tcMar>
          </w:tcPr>
          <w:p>
            <w:pPr>
              <w:spacing w:after="20" w:line="258"/>
            </w:pPr>
            <w:r>
              <w:rPr>
                <w:sz w:val="19"/>
                <w:szCs w:val="19"/>
              </w:rPr>
              <w:t xml:space="preserve">Lab 1 — Build a configurable text assistant</w:t>
            </w:r>
          </w:p>
        </w:tc>
        <w:tc>
          <w:tcPr>
            <w:tcW w:type="dxa" w:w="1100"/>
            <w:shd w:fill="F2F2F2" w:color="auto" w:val="clear"/>
            <w:tcMar>
              <w:top w:type="dxa" w:w="60"/>
              <w:left w:type="dxa" w:w="90"/>
              <w:bottom w:type="dxa" w:w="60"/>
              <w:right w:type="dxa" w:w="90"/>
            </w:tcMar>
          </w:tcPr>
          <w:p>
            <w:pPr>
              <w:spacing w:after="20" w:line="258"/>
            </w:pPr>
            <w:r>
              <w:rPr>
                <w:i/>
                <w:iCs/>
                <w:sz w:val="19"/>
                <w:szCs w:val="19"/>
              </w:rPr>
              <w:t xml:space="preserve">Working with the OpenAI API</w:t>
            </w:r>
          </w:p>
        </w:tc>
      </w:tr>
      <w:tr>
        <w:tc>
          <w:tcPr>
            <w:tcW w:type="dxa" w:w="62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3</w:t>
            </w:r>
          </w:p>
        </w:tc>
        <w:tc>
          <w:tcPr>
            <w:tcW w:type="dxa" w:w="1700"/>
            <w:shd w:fill="FFFFFF" w:color="auto" w:val="clear"/>
            <w:tcMar>
              <w:top w:type="dxa" w:w="60"/>
              <w:left w:type="dxa" w:w="90"/>
              <w:bottom w:type="dxa" w:w="60"/>
              <w:right w:type="dxa" w:w="90"/>
            </w:tcMar>
          </w:tcPr>
          <w:p>
            <w:pPr>
              <w:spacing w:after="20" w:line="258"/>
            </w:pPr>
            <w:r>
              <w:rPr>
                <w:b/>
                <w:bCs/>
                <w:color w:val="2E5496"/>
                <w:sz w:val="19"/>
                <w:szCs w:val="19"/>
              </w:rPr>
              <w:t xml:space="preserve">Prompt Engineering</w:t>
            </w:r>
          </w:p>
        </w:tc>
        <w:tc>
          <w:tcPr>
            <w:tcW w:type="dxa" w:w="3600"/>
            <w:shd w:fill="FFFFFF" w:color="auto" w:val="clear"/>
            <w:tcMar>
              <w:top w:type="dxa" w:w="60"/>
              <w:left w:type="dxa" w:w="90"/>
              <w:bottom w:type="dxa" w:w="60"/>
              <w:right w:type="dxa" w:w="90"/>
            </w:tcMar>
          </w:tcPr>
          <w:p>
            <w:pPr>
              <w:spacing w:after="20" w:line="258"/>
            </w:pPr>
            <w:r>
              <w:rPr>
                <w:sz w:val="19"/>
                <w:szCs w:val="19"/>
              </w:rPr>
              <w:t xml:space="preserve">Session 1: Prompt design principles: clarity, context, few-shot examples, delimiters, role prompting.</w:t>
            </w:r>
          </w:p>
          <w:p>
            <w:pPr>
              <w:spacing w:after="20" w:line="258"/>
            </w:pPr>
            <w:r>
              <w:rPr>
                <w:sz w:val="19"/>
                <w:szCs w:val="19"/>
              </w:rPr>
              <w:t xml:space="preserve">Session 2: Advanced techniques: chain-of-thought, structured/JSON output, prompt templates, evaluation of prompt quality.</w:t>
            </w:r>
          </w:p>
        </w:tc>
        <w:tc>
          <w:tcPr>
            <w:tcW w:type="dxa" w:w="2340"/>
            <w:shd w:fill="FFFFFF" w:color="auto" w:val="clear"/>
            <w:tcMar>
              <w:top w:type="dxa" w:w="60"/>
              <w:left w:type="dxa" w:w="90"/>
              <w:bottom w:type="dxa" w:w="60"/>
              <w:right w:type="dxa" w:w="90"/>
            </w:tcMar>
          </w:tcPr>
          <w:p>
            <w:pPr>
              <w:spacing w:after="20" w:line="258"/>
            </w:pPr>
            <w:r>
              <w:rPr>
                <w:sz w:val="19"/>
                <w:szCs w:val="19"/>
              </w:rPr>
              <w:t xml:space="preserve">Lab 2 — Prompt engineering challenge set</w:t>
            </w:r>
          </w:p>
        </w:tc>
        <w:tc>
          <w:tcPr>
            <w:tcW w:type="dxa" w:w="1100"/>
            <w:shd w:fill="FFFFFF" w:color="auto" w:val="clear"/>
            <w:tcMar>
              <w:top w:type="dxa" w:w="60"/>
              <w:left w:type="dxa" w:w="90"/>
              <w:bottom w:type="dxa" w:w="60"/>
              <w:right w:type="dxa" w:w="90"/>
            </w:tcMar>
          </w:tcPr>
          <w:p>
            <w:pPr>
              <w:spacing w:after="20" w:line="258"/>
            </w:pPr>
            <w:r>
              <w:rPr>
                <w:i/>
                <w:iCs/>
                <w:sz w:val="19"/>
                <w:szCs w:val="19"/>
              </w:rPr>
              <w:t xml:space="preserve">Prompt Engineering with the OpenAI API</w:t>
            </w:r>
          </w:p>
        </w:tc>
      </w:tr>
      <w:tr>
        <w:tc>
          <w:tcPr>
            <w:tcW w:type="dxa" w:w="62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4</w:t>
            </w:r>
          </w:p>
        </w:tc>
        <w:tc>
          <w:tcPr>
            <w:tcW w:type="dxa" w:w="1700"/>
            <w:shd w:fill="F2F2F2" w:color="auto" w:val="clear"/>
            <w:tcMar>
              <w:top w:type="dxa" w:w="60"/>
              <w:left w:type="dxa" w:w="90"/>
              <w:bottom w:type="dxa" w:w="60"/>
              <w:right w:type="dxa" w:w="90"/>
            </w:tcMar>
          </w:tcPr>
          <w:p>
            <w:pPr>
              <w:spacing w:after="20" w:line="258"/>
            </w:pPr>
            <w:r>
              <w:rPr>
                <w:b/>
                <w:bCs/>
                <w:color w:val="2E5496"/>
                <w:sz w:val="19"/>
                <w:szCs w:val="19"/>
              </w:rPr>
              <w:t xml:space="preserve">Building Interactive AI Apps</w:t>
            </w:r>
          </w:p>
        </w:tc>
        <w:tc>
          <w:tcPr>
            <w:tcW w:type="dxa" w:w="3600"/>
            <w:shd w:fill="F2F2F2" w:color="auto" w:val="clear"/>
            <w:tcMar>
              <w:top w:type="dxa" w:w="60"/>
              <w:left w:type="dxa" w:w="90"/>
              <w:bottom w:type="dxa" w:w="60"/>
              <w:right w:type="dxa" w:w="90"/>
            </w:tcMar>
          </w:tcPr>
          <w:p>
            <w:pPr>
              <w:spacing w:after="20" w:line="258"/>
            </w:pPr>
            <w:r>
              <w:rPr>
                <w:sz w:val="19"/>
                <w:szCs w:val="19"/>
              </w:rPr>
              <w:t xml:space="preserve">Session 1: The OpenAI Responses API; function/tool calling; giving models access to external functions.</w:t>
            </w:r>
          </w:p>
          <w:p>
            <w:pPr>
              <w:spacing w:after="20" w:line="258"/>
            </w:pPr>
            <w:r>
              <w:rPr>
                <w:sz w:val="19"/>
                <w:szCs w:val="19"/>
              </w:rPr>
              <w:t xml:space="preserve">Session 2: Designing a conversational app: state, message history, guardrails, structured outputs.</w:t>
            </w:r>
          </w:p>
        </w:tc>
        <w:tc>
          <w:tcPr>
            <w:tcW w:type="dxa" w:w="2340"/>
            <w:shd w:fill="F2F2F2" w:color="auto" w:val="clear"/>
            <w:tcMar>
              <w:top w:type="dxa" w:w="60"/>
              <w:left w:type="dxa" w:w="90"/>
              <w:bottom w:type="dxa" w:w="60"/>
              <w:right w:type="dxa" w:w="90"/>
            </w:tcMar>
          </w:tcPr>
          <w:p>
            <w:pPr>
              <w:spacing w:after="20" w:line="258"/>
            </w:pPr>
            <w:r>
              <w:rPr>
                <w:sz w:val="19"/>
                <w:szCs w:val="19"/>
              </w:rPr>
              <w:t xml:space="preserve">Lab 3 — Function-calling chatbot</w:t>
            </w:r>
          </w:p>
        </w:tc>
        <w:tc>
          <w:tcPr>
            <w:tcW w:type="dxa" w:w="1100"/>
            <w:shd w:fill="F2F2F2" w:color="auto" w:val="clear"/>
            <w:tcMar>
              <w:top w:type="dxa" w:w="60"/>
              <w:left w:type="dxa" w:w="90"/>
              <w:bottom w:type="dxa" w:w="60"/>
              <w:right w:type="dxa" w:w="90"/>
            </w:tcMar>
          </w:tcPr>
          <w:p>
            <w:pPr>
              <w:spacing w:after="20" w:line="258"/>
            </w:pPr>
            <w:r>
              <w:rPr>
                <w:i/>
                <w:iCs/>
                <w:sz w:val="19"/>
                <w:szCs w:val="19"/>
              </w:rPr>
              <w:t xml:space="preserve">Working with the OpenAI Responses API</w:t>
            </w:r>
          </w:p>
        </w:tc>
      </w:tr>
      <w:tr>
        <w:tc>
          <w:tcPr>
            <w:tcW w:type="dxa" w:w="62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5</w:t>
            </w:r>
          </w:p>
        </w:tc>
        <w:tc>
          <w:tcPr>
            <w:tcW w:type="dxa" w:w="1700"/>
            <w:shd w:fill="FFFFFF" w:color="auto" w:val="clear"/>
            <w:tcMar>
              <w:top w:type="dxa" w:w="60"/>
              <w:left w:type="dxa" w:w="90"/>
              <w:bottom w:type="dxa" w:w="60"/>
              <w:right w:type="dxa" w:w="90"/>
            </w:tcMar>
          </w:tcPr>
          <w:p>
            <w:pPr>
              <w:spacing w:after="20" w:line="258"/>
            </w:pPr>
            <w:r>
              <w:rPr>
                <w:b/>
                <w:bCs/>
                <w:color w:val="2E5496"/>
                <w:sz w:val="19"/>
                <w:szCs w:val="19"/>
              </w:rPr>
              <w:t xml:space="preserve">Open-Source Models with Hugging Face</w:t>
            </w:r>
          </w:p>
        </w:tc>
        <w:tc>
          <w:tcPr>
            <w:tcW w:type="dxa" w:w="3600"/>
            <w:shd w:fill="FFFFFF" w:color="auto" w:val="clear"/>
            <w:tcMar>
              <w:top w:type="dxa" w:w="60"/>
              <w:left w:type="dxa" w:w="90"/>
              <w:bottom w:type="dxa" w:w="60"/>
              <w:right w:type="dxa" w:w="90"/>
            </w:tcMar>
          </w:tcPr>
          <w:p>
            <w:pPr>
              <w:spacing w:after="20" w:line="258"/>
            </w:pPr>
            <w:r>
              <w:rPr>
                <w:sz w:val="19"/>
                <w:szCs w:val="19"/>
              </w:rPr>
              <w:t xml:space="preserve">Session 1: The Hugging Face Hub; transformers &amp; pipelines; using pre-trained models for common NLP tasks.</w:t>
            </w:r>
          </w:p>
          <w:p>
            <w:pPr>
              <w:spacing w:after="20" w:line="258"/>
            </w:pPr>
            <w:r>
              <w:rPr>
                <w:sz w:val="19"/>
                <w:szCs w:val="19"/>
              </w:rPr>
              <w:t xml:space="preserve">Session 2: Choosing between hosted APIs and open models; running models locally; tradeoffs in cost, privacy, control.</w:t>
            </w:r>
          </w:p>
        </w:tc>
        <w:tc>
          <w:tcPr>
            <w:tcW w:type="dxa" w:w="2340"/>
            <w:shd w:fill="FFFFFF" w:color="auto" w:val="clear"/>
            <w:tcMar>
              <w:top w:type="dxa" w:w="60"/>
              <w:left w:type="dxa" w:w="90"/>
              <w:bottom w:type="dxa" w:w="60"/>
              <w:right w:type="dxa" w:w="90"/>
            </w:tcMar>
          </w:tcPr>
          <w:p>
            <w:pPr>
              <w:spacing w:after="20" w:line="258"/>
            </w:pPr>
            <w:r>
              <w:rPr>
                <w:sz w:val="19"/>
                <w:szCs w:val="19"/>
              </w:rPr>
              <w:t xml:space="preserve">Lab 4 — Multi-task NLP with Hugging Face  •  Quiz 1</w:t>
            </w:r>
          </w:p>
        </w:tc>
        <w:tc>
          <w:tcPr>
            <w:tcW w:type="dxa" w:w="1100"/>
            <w:shd w:fill="FFFFFF" w:color="auto" w:val="clear"/>
            <w:tcMar>
              <w:top w:type="dxa" w:w="60"/>
              <w:left w:type="dxa" w:w="90"/>
              <w:bottom w:type="dxa" w:w="60"/>
              <w:right w:type="dxa" w:w="90"/>
            </w:tcMar>
          </w:tcPr>
          <w:p>
            <w:pPr>
              <w:spacing w:after="20" w:line="258"/>
            </w:pPr>
            <w:r>
              <w:rPr>
                <w:i/>
                <w:iCs/>
                <w:sz w:val="19"/>
                <w:szCs w:val="19"/>
              </w:rPr>
              <w:t xml:space="preserve">Working with Hugging Face</w:t>
            </w:r>
          </w:p>
        </w:tc>
      </w:tr>
      <w:tr>
        <w:tc>
          <w:tcPr>
            <w:tcW w:type="dxa" w:w="62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6</w:t>
            </w:r>
          </w:p>
        </w:tc>
        <w:tc>
          <w:tcPr>
            <w:tcW w:type="dxa" w:w="1700"/>
            <w:shd w:fill="F2F2F2" w:color="auto" w:val="clear"/>
            <w:tcMar>
              <w:top w:type="dxa" w:w="60"/>
              <w:left w:type="dxa" w:w="90"/>
              <w:bottom w:type="dxa" w:w="60"/>
              <w:right w:type="dxa" w:w="90"/>
            </w:tcMar>
          </w:tcPr>
          <w:p>
            <w:pPr>
              <w:spacing w:after="20" w:line="258"/>
            </w:pPr>
            <w:r>
              <w:rPr>
                <w:b/>
                <w:bCs/>
                <w:color w:val="2E5496"/>
                <w:sz w:val="19"/>
                <w:szCs w:val="19"/>
              </w:rPr>
              <w:t xml:space="preserve">Embeddings &amp; Semantic Search</w:t>
            </w:r>
          </w:p>
        </w:tc>
        <w:tc>
          <w:tcPr>
            <w:tcW w:type="dxa" w:w="3600"/>
            <w:shd w:fill="F2F2F2" w:color="auto" w:val="clear"/>
            <w:tcMar>
              <w:top w:type="dxa" w:w="60"/>
              <w:left w:type="dxa" w:w="90"/>
              <w:bottom w:type="dxa" w:w="60"/>
              <w:right w:type="dxa" w:w="90"/>
            </w:tcMar>
          </w:tcPr>
          <w:p>
            <w:pPr>
              <w:spacing w:after="20" w:line="258"/>
            </w:pPr>
            <w:r>
              <w:rPr>
                <w:sz w:val="19"/>
                <w:szCs w:val="19"/>
              </w:rPr>
              <w:t xml:space="preserve">Session 1: What embeddings are; vector representations of meaning; the OpenAI embeddings API.</w:t>
            </w:r>
          </w:p>
          <w:p>
            <w:pPr>
              <w:spacing w:after="20" w:line="258"/>
            </w:pPr>
            <w:r>
              <w:rPr>
                <w:sz w:val="19"/>
                <w:szCs w:val="19"/>
              </w:rPr>
              <w:t xml:space="preserve">Session 2: Applications: semantic search, clustering, classification, and recommendation engines.</w:t>
            </w:r>
          </w:p>
        </w:tc>
        <w:tc>
          <w:tcPr>
            <w:tcW w:type="dxa" w:w="2340"/>
            <w:shd w:fill="F2F2F2" w:color="auto" w:val="clear"/>
            <w:tcMar>
              <w:top w:type="dxa" w:w="60"/>
              <w:left w:type="dxa" w:w="90"/>
              <w:bottom w:type="dxa" w:w="60"/>
              <w:right w:type="dxa" w:w="90"/>
            </w:tcMar>
          </w:tcPr>
          <w:p>
            <w:pPr>
              <w:spacing w:after="20" w:line="258"/>
            </w:pPr>
            <w:r>
              <w:rPr>
                <w:sz w:val="19"/>
                <w:szCs w:val="19"/>
              </w:rPr>
              <w:t xml:space="preserve">Lab 5 — Semantic search over a document set</w:t>
            </w:r>
          </w:p>
        </w:tc>
        <w:tc>
          <w:tcPr>
            <w:tcW w:type="dxa" w:w="1100"/>
            <w:shd w:fill="F2F2F2" w:color="auto" w:val="clear"/>
            <w:tcMar>
              <w:top w:type="dxa" w:w="60"/>
              <w:left w:type="dxa" w:w="90"/>
              <w:bottom w:type="dxa" w:w="60"/>
              <w:right w:type="dxa" w:w="90"/>
            </w:tcMar>
          </w:tcPr>
          <w:p>
            <w:pPr>
              <w:spacing w:after="20" w:line="258"/>
            </w:pPr>
            <w:r>
              <w:rPr>
                <w:i/>
                <w:iCs/>
                <w:sz w:val="19"/>
                <w:szCs w:val="19"/>
              </w:rPr>
              <w:t xml:space="preserve">Introduction to Embeddings with the OpenAI API</w:t>
            </w:r>
          </w:p>
        </w:tc>
      </w:tr>
      <w:tr>
        <w:tc>
          <w:tcPr>
            <w:tcW w:type="dxa" w:w="62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7</w:t>
            </w:r>
          </w:p>
        </w:tc>
        <w:tc>
          <w:tcPr>
            <w:tcW w:type="dxa" w:w="1700"/>
            <w:shd w:fill="FFFFFF" w:color="auto" w:val="clear"/>
            <w:tcMar>
              <w:top w:type="dxa" w:w="60"/>
              <w:left w:type="dxa" w:w="90"/>
              <w:bottom w:type="dxa" w:w="60"/>
              <w:right w:type="dxa" w:w="90"/>
            </w:tcMar>
          </w:tcPr>
          <w:p>
            <w:pPr>
              <w:spacing w:after="20" w:line="258"/>
            </w:pPr>
            <w:r>
              <w:rPr>
                <w:b/>
                <w:bCs/>
                <w:color w:val="2E5496"/>
                <w:sz w:val="19"/>
                <w:szCs w:val="19"/>
              </w:rPr>
              <w:t xml:space="preserve">Vector Databases &amp; RAG</w:t>
            </w:r>
          </w:p>
        </w:tc>
        <w:tc>
          <w:tcPr>
            <w:tcW w:type="dxa" w:w="3600"/>
            <w:shd w:fill="FFFFFF" w:color="auto" w:val="clear"/>
            <w:tcMar>
              <w:top w:type="dxa" w:w="60"/>
              <w:left w:type="dxa" w:w="90"/>
              <w:bottom w:type="dxa" w:w="60"/>
              <w:right w:type="dxa" w:w="90"/>
            </w:tcMar>
          </w:tcPr>
          <w:p>
            <w:pPr>
              <w:spacing w:after="20" w:line="258"/>
            </w:pPr>
            <w:r>
              <w:rPr>
                <w:sz w:val="19"/>
                <w:szCs w:val="19"/>
              </w:rPr>
              <w:t xml:space="preserve">Session 1: Vector databases and Pinecone; indexing, similarity search, metadata filtering.</w:t>
            </w:r>
          </w:p>
          <w:p>
            <w:pPr>
              <w:spacing w:after="20" w:line="258"/>
            </w:pPr>
            <w:r>
              <w:rPr>
                <w:sz w:val="19"/>
                <w:szCs w:val="19"/>
              </w:rPr>
              <w:t xml:space="preserve">Session 2: Retrieval-Augmented Generation (RAG): grounding LLM answers in your own data.</w:t>
            </w:r>
          </w:p>
        </w:tc>
        <w:tc>
          <w:tcPr>
            <w:tcW w:type="dxa" w:w="2340"/>
            <w:shd w:fill="FFFFFF" w:color="auto" w:val="clear"/>
            <w:tcMar>
              <w:top w:type="dxa" w:w="60"/>
              <w:left w:type="dxa" w:w="90"/>
              <w:bottom w:type="dxa" w:w="60"/>
              <w:right w:type="dxa" w:w="90"/>
            </w:tcMar>
          </w:tcPr>
          <w:p>
            <w:pPr>
              <w:spacing w:after="20" w:line="258"/>
            </w:pPr>
            <w:r>
              <w:rPr>
                <w:sz w:val="19"/>
                <w:szCs w:val="19"/>
              </w:rPr>
              <w:t xml:space="preserve">Lab 6 — Build a RAG-powered Q&amp;A app  •  Capstone proposal due</w:t>
            </w:r>
          </w:p>
        </w:tc>
        <w:tc>
          <w:tcPr>
            <w:tcW w:type="dxa" w:w="1100"/>
            <w:shd w:fill="FFFFFF" w:color="auto" w:val="clear"/>
            <w:tcMar>
              <w:top w:type="dxa" w:w="60"/>
              <w:left w:type="dxa" w:w="90"/>
              <w:bottom w:type="dxa" w:w="60"/>
              <w:right w:type="dxa" w:w="90"/>
            </w:tcMar>
          </w:tcPr>
          <w:p>
            <w:pPr>
              <w:spacing w:after="20" w:line="258"/>
            </w:pPr>
            <w:r>
              <w:rPr>
                <w:i/>
                <w:iCs/>
                <w:sz w:val="19"/>
                <w:szCs w:val="19"/>
              </w:rPr>
              <w:t xml:space="preserve">Building AI Applications with Pinecone</w:t>
            </w:r>
          </w:p>
        </w:tc>
      </w:tr>
      <w:tr>
        <w:tc>
          <w:tcPr>
            <w:tcW w:type="dxa" w:w="62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8</w:t>
            </w:r>
          </w:p>
        </w:tc>
        <w:tc>
          <w:tcPr>
            <w:tcW w:type="dxa" w:w="1700"/>
            <w:shd w:fill="F2F2F2" w:color="auto" w:val="clear"/>
            <w:tcMar>
              <w:top w:type="dxa" w:w="60"/>
              <w:left w:type="dxa" w:w="90"/>
              <w:bottom w:type="dxa" w:w="60"/>
              <w:right w:type="dxa" w:w="90"/>
            </w:tcMar>
          </w:tcPr>
          <w:p>
            <w:pPr>
              <w:spacing w:after="20" w:line="258"/>
            </w:pPr>
            <w:r>
              <w:rPr>
                <w:b/>
                <w:bCs/>
                <w:color w:val="2E5496"/>
                <w:sz w:val="19"/>
                <w:szCs w:val="19"/>
              </w:rPr>
              <w:t xml:space="preserve">Orchestration with LangChain</w:t>
            </w:r>
          </w:p>
        </w:tc>
        <w:tc>
          <w:tcPr>
            <w:tcW w:type="dxa" w:w="3600"/>
            <w:shd w:fill="F2F2F2" w:color="auto" w:val="clear"/>
            <w:tcMar>
              <w:top w:type="dxa" w:w="60"/>
              <w:left w:type="dxa" w:w="90"/>
              <w:bottom w:type="dxa" w:w="60"/>
              <w:right w:type="dxa" w:w="90"/>
            </w:tcMar>
          </w:tcPr>
          <w:p>
            <w:pPr>
              <w:spacing w:after="20" w:line="258"/>
            </w:pPr>
            <w:r>
              <w:rPr>
                <w:sz w:val="19"/>
                <w:szCs w:val="19"/>
              </w:rPr>
              <w:t xml:space="preserve">Session 1: LangChain building blocks: models, prompts, chains, and memory.</w:t>
            </w:r>
          </w:p>
          <w:p>
            <w:pPr>
              <w:spacing w:after="20" w:line="258"/>
            </w:pPr>
            <w:r>
              <w:rPr>
                <w:sz w:val="19"/>
                <w:szCs w:val="19"/>
              </w:rPr>
              <w:t xml:space="preserve">Session 2: Agents and tools; composing multi-step AI workflows; when to use a framework vs. raw API.</w:t>
            </w:r>
          </w:p>
        </w:tc>
        <w:tc>
          <w:tcPr>
            <w:tcW w:type="dxa" w:w="2340"/>
            <w:shd w:fill="F2F2F2" w:color="auto" w:val="clear"/>
            <w:tcMar>
              <w:top w:type="dxa" w:w="60"/>
              <w:left w:type="dxa" w:w="90"/>
              <w:bottom w:type="dxa" w:w="60"/>
              <w:right w:type="dxa" w:w="90"/>
            </w:tcMar>
          </w:tcPr>
          <w:p>
            <w:pPr>
              <w:spacing w:after="20" w:line="258"/>
            </w:pPr>
            <w:r>
              <w:rPr>
                <w:sz w:val="19"/>
                <w:szCs w:val="19"/>
              </w:rPr>
              <w:t xml:space="preserve">Lab 7 — Multi-step LangChain agent</w:t>
            </w:r>
          </w:p>
        </w:tc>
        <w:tc>
          <w:tcPr>
            <w:tcW w:type="dxa" w:w="1100"/>
            <w:shd w:fill="F2F2F2" w:color="auto" w:val="clear"/>
            <w:tcMar>
              <w:top w:type="dxa" w:w="60"/>
              <w:left w:type="dxa" w:w="90"/>
              <w:bottom w:type="dxa" w:w="60"/>
              <w:right w:type="dxa" w:w="90"/>
            </w:tcMar>
          </w:tcPr>
          <w:p>
            <w:pPr>
              <w:spacing w:after="20" w:line="258"/>
            </w:pPr>
            <w:r>
              <w:rPr>
                <w:i/>
                <w:iCs/>
                <w:sz w:val="19"/>
                <w:szCs w:val="19"/>
              </w:rPr>
              <w:t xml:space="preserve">Developing LLM Applications with LangChain</w:t>
            </w:r>
          </w:p>
        </w:tc>
      </w:tr>
      <w:tr>
        <w:tc>
          <w:tcPr>
            <w:tcW w:type="dxa" w:w="62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9</w:t>
            </w:r>
          </w:p>
        </w:tc>
        <w:tc>
          <w:tcPr>
            <w:tcW w:type="dxa" w:w="1700"/>
            <w:shd w:fill="FFFFFF" w:color="auto" w:val="clear"/>
            <w:tcMar>
              <w:top w:type="dxa" w:w="60"/>
              <w:left w:type="dxa" w:w="90"/>
              <w:bottom w:type="dxa" w:w="60"/>
              <w:right w:type="dxa" w:w="90"/>
            </w:tcMar>
          </w:tcPr>
          <w:p>
            <w:pPr>
              <w:spacing w:after="20" w:line="258"/>
            </w:pPr>
            <w:r>
              <w:rPr>
                <w:b/>
                <w:bCs/>
                <w:color w:val="2E5496"/>
                <w:sz w:val="19"/>
                <w:szCs w:val="19"/>
              </w:rPr>
              <w:t xml:space="preserve">Production AI: LLMOps &amp; Engineering</w:t>
            </w:r>
          </w:p>
        </w:tc>
        <w:tc>
          <w:tcPr>
            <w:tcW w:type="dxa" w:w="3600"/>
            <w:shd w:fill="FFFFFF" w:color="auto" w:val="clear"/>
            <w:tcMar>
              <w:top w:type="dxa" w:w="60"/>
              <w:left w:type="dxa" w:w="90"/>
              <w:bottom w:type="dxa" w:w="60"/>
              <w:right w:type="dxa" w:w="90"/>
            </w:tcMar>
          </w:tcPr>
          <w:p>
            <w:pPr>
              <w:spacing w:after="20" w:line="258"/>
            </w:pPr>
            <w:r>
              <w:rPr>
                <w:sz w:val="19"/>
                <w:szCs w:val="19"/>
              </w:rPr>
              <w:t xml:space="preserve">Session 1: LLMOps lifecycle: deployment, monitoring, evaluation, versioning, and cost/latency management.</w:t>
            </w:r>
          </w:p>
          <w:p>
            <w:pPr>
              <w:spacing w:after="20" w:line="258"/>
            </w:pPr>
            <w:r>
              <w:rPr>
                <w:sz w:val="19"/>
                <w:szCs w:val="19"/>
              </w:rPr>
              <w:t xml:space="preserve">Session 2: Software engineering for AI: modularity, testing, documentation; the Model Context Protocol (MCP) for connecting apps to tools &amp; data.</w:t>
            </w:r>
          </w:p>
        </w:tc>
        <w:tc>
          <w:tcPr>
            <w:tcW w:type="dxa" w:w="2340"/>
            <w:shd w:fill="FFFFFF" w:color="auto" w:val="clear"/>
            <w:tcMar>
              <w:top w:type="dxa" w:w="60"/>
              <w:left w:type="dxa" w:w="90"/>
              <w:bottom w:type="dxa" w:w="60"/>
              <w:right w:type="dxa" w:w="90"/>
            </w:tcMar>
          </w:tcPr>
          <w:p>
            <w:pPr>
              <w:spacing w:after="20" w:line="258"/>
            </w:pPr>
            <w:r>
              <w:rPr>
                <w:sz w:val="19"/>
                <w:szCs w:val="19"/>
              </w:rPr>
              <w:t xml:space="preserve">Lab 8 — Package, test &amp; document an AI service  •  Quiz 2</w:t>
            </w:r>
          </w:p>
        </w:tc>
        <w:tc>
          <w:tcPr>
            <w:tcW w:type="dxa" w:w="1100"/>
            <w:shd w:fill="FFFFFF" w:color="auto" w:val="clear"/>
            <w:tcMar>
              <w:top w:type="dxa" w:w="60"/>
              <w:left w:type="dxa" w:w="90"/>
              <w:bottom w:type="dxa" w:w="60"/>
              <w:right w:type="dxa" w:w="90"/>
            </w:tcMar>
          </w:tcPr>
          <w:p>
            <w:pPr>
              <w:spacing w:after="20" w:line="258"/>
            </w:pPr>
            <w:r>
              <w:rPr>
                <w:i/>
                <w:iCs/>
                <w:sz w:val="19"/>
                <w:szCs w:val="19"/>
              </w:rPr>
              <w:t xml:space="preserve">LLMOps Concepts; SW Eng Principles; MCP</w:t>
            </w:r>
          </w:p>
        </w:tc>
      </w:tr>
      <w:tr>
        <w:tc>
          <w:tcPr>
            <w:tcW w:type="dxa" w:w="62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10</w:t>
            </w:r>
          </w:p>
        </w:tc>
        <w:tc>
          <w:tcPr>
            <w:tcW w:type="dxa" w:w="1700"/>
            <w:shd w:fill="F2F2F2" w:color="auto" w:val="clear"/>
            <w:tcMar>
              <w:top w:type="dxa" w:w="60"/>
              <w:left w:type="dxa" w:w="90"/>
              <w:bottom w:type="dxa" w:w="60"/>
              <w:right w:type="dxa" w:w="90"/>
            </w:tcMar>
          </w:tcPr>
          <w:p>
            <w:pPr>
              <w:spacing w:after="20" w:line="258"/>
            </w:pPr>
            <w:r>
              <w:rPr>
                <w:b/>
                <w:bCs/>
                <w:color w:val="2E5496"/>
                <w:sz w:val="19"/>
                <w:szCs w:val="19"/>
              </w:rPr>
              <w:t xml:space="preserve">Capstone</w:t>
            </w:r>
          </w:p>
        </w:tc>
        <w:tc>
          <w:tcPr>
            <w:tcW w:type="dxa" w:w="3600"/>
            <w:shd w:fill="F2F2F2" w:color="auto" w:val="clear"/>
            <w:tcMar>
              <w:top w:type="dxa" w:w="60"/>
              <w:left w:type="dxa" w:w="90"/>
              <w:bottom w:type="dxa" w:w="60"/>
              <w:right w:type="dxa" w:w="90"/>
            </w:tcMar>
          </w:tcPr>
          <w:p>
            <w:pPr>
              <w:spacing w:after="20" w:line="258"/>
            </w:pPr>
            <w:r>
              <w:rPr>
                <w:sz w:val="19"/>
                <w:szCs w:val="19"/>
              </w:rPr>
              <w:t xml:space="preserve">Session 1: Capstone build lab &amp; instructor consultations; integration and polish.</w:t>
            </w:r>
          </w:p>
          <w:p>
            <w:pPr>
              <w:spacing w:after="20" w:line="258"/>
            </w:pPr>
            <w:r>
              <w:rPr>
                <w:sz w:val="19"/>
                <w:szCs w:val="19"/>
              </w:rPr>
              <w:t xml:space="preserve">Session 2: Capstone presentations &amp; demos; peer review; course wrap-up and career pathways.</w:t>
            </w:r>
          </w:p>
        </w:tc>
        <w:tc>
          <w:tcPr>
            <w:tcW w:type="dxa" w:w="2340"/>
            <w:shd w:fill="F2F2F2" w:color="auto" w:val="clear"/>
            <w:tcMar>
              <w:top w:type="dxa" w:w="60"/>
              <w:left w:type="dxa" w:w="90"/>
              <w:bottom w:type="dxa" w:w="60"/>
              <w:right w:type="dxa" w:w="90"/>
            </w:tcMar>
          </w:tcPr>
          <w:p>
            <w:pPr>
              <w:spacing w:after="20" w:line="258"/>
            </w:pPr>
            <w:r>
              <w:rPr>
                <w:sz w:val="19"/>
                <w:szCs w:val="19"/>
              </w:rPr>
              <w:t xml:space="preserve">Capstone project &amp; presentation (final deliverable)</w:t>
            </w:r>
          </w:p>
        </w:tc>
        <w:tc>
          <w:tcPr>
            <w:tcW w:type="dxa" w:w="1100"/>
            <w:shd w:fill="F2F2F2" w:color="auto" w:val="clear"/>
            <w:tcMar>
              <w:top w:type="dxa" w:w="60"/>
              <w:left w:type="dxa" w:w="90"/>
              <w:bottom w:type="dxa" w:w="60"/>
              <w:right w:type="dxa" w:w="90"/>
            </w:tcMar>
          </w:tcPr>
          <w:p>
            <w:pPr>
              <w:spacing w:after="20" w:line="258"/>
            </w:pPr>
            <w:r>
              <w:rPr>
                <w:i/>
                <w:iCs/>
                <w:sz w:val="19"/>
                <w:szCs w:val="19"/>
              </w:rPr>
              <w:t xml:space="preserve">Integrative</w:t>
            </w:r>
          </w:p>
        </w:tc>
      </w:tr>
    </w:tbl>
    <w:p>
      <w:r>
        <w:br w:type="page"/>
      </w:r>
    </w:p>
    <w:p>
      <w:pPr>
        <w:pStyle w:val="Heading1"/>
        <w:spacing w:after="140" w:before="320"/>
      </w:pPr>
      <w:r>
        <w:rPr>
          <w:b/>
          <w:bCs/>
          <w:color w:val="1F3864"/>
          <w:sz w:val="30"/>
          <w:szCs w:val="30"/>
        </w:rPr>
        <w:t xml:space="preserve">Assessment &amp; Grading</w:t>
      </w:r>
    </w:p>
    <w:p>
      <w:pPr>
        <w:spacing w:after="120" w:line="276"/>
      </w:pPr>
      <w:r>
        <w:rPr>
          <w:sz w:val="22"/>
          <w:szCs w:val="22"/>
        </w:rPr>
        <w:t xml:space="preserve">The course is assessed through continuous hands-on work rather than heavy examinations, reflecting its practical focus. Weighting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shd w:fill="1F3864" w:color="auto" w:val="clear"/>
            <w:tcMar>
              <w:top w:type="dxa" w:w="60"/>
              <w:left w:type="dxa" w:w="90"/>
              <w:bottom w:type="dxa" w:w="60"/>
              <w:right w:type="dxa" w:w="90"/>
            </w:tcMar>
          </w:tcPr>
          <w:p>
            <w:pPr>
              <w:spacing w:after="20" w:line="260"/>
            </w:pPr>
            <w:r>
              <w:rPr>
                <w:b/>
                <w:bCs/>
                <w:color w:val="FFFFFF"/>
                <w:sz w:val="19"/>
                <w:szCs w:val="19"/>
              </w:rPr>
              <w:t xml:space="preserve">Component</w:t>
            </w:r>
          </w:p>
        </w:tc>
        <w:tc>
          <w:tcPr>
            <w:tcW w:type="dxa" w:w="1200"/>
            <w:shd w:fill="1F3864" w:color="auto" w:val="clear"/>
            <w:tcMar>
              <w:top w:type="dxa" w:w="60"/>
              <w:left w:type="dxa" w:w="90"/>
              <w:bottom w:type="dxa" w:w="60"/>
              <w:right w:type="dxa" w:w="90"/>
            </w:tcMar>
          </w:tcPr>
          <w:p>
            <w:pPr>
              <w:spacing w:after="20" w:line="260"/>
              <w:jc w:val="center"/>
            </w:pPr>
            <w:r>
              <w:rPr>
                <w:b/>
                <w:bCs/>
                <w:color w:val="FFFFFF"/>
                <w:sz w:val="19"/>
                <w:szCs w:val="19"/>
              </w:rPr>
              <w:t xml:space="preserve">Weight</w:t>
            </w:r>
          </w:p>
        </w:tc>
        <w:tc>
          <w:tcPr>
            <w:tcW w:type="dxa" w:w="4760"/>
            <w:shd w:fill="1F3864" w:color="auto" w:val="clear"/>
            <w:tcMar>
              <w:top w:type="dxa" w:w="60"/>
              <w:left w:type="dxa" w:w="90"/>
              <w:bottom w:type="dxa" w:w="60"/>
              <w:right w:type="dxa" w:w="90"/>
            </w:tcMar>
          </w:tcPr>
          <w:p>
            <w:pPr>
              <w:spacing w:after="20" w:line="260"/>
            </w:pPr>
            <w:r>
              <w:rPr>
                <w:b/>
                <w:bCs/>
                <w:color w:val="FFFFFF"/>
                <w:sz w:val="19"/>
                <w:szCs w:val="19"/>
              </w:rPr>
              <w:t xml:space="preserve">Description</w:t>
            </w:r>
          </w:p>
        </w:tc>
      </w:tr>
      <w:tr>
        <w:tc>
          <w:tcPr>
            <w:tcW w:type="dxa" w:w="3400"/>
            <w:shd w:fill="FFFFFF" w:color="auto" w:val="clear"/>
            <w:tcMar>
              <w:top w:type="dxa" w:w="60"/>
              <w:left w:type="dxa" w:w="90"/>
              <w:bottom w:type="dxa" w:w="60"/>
              <w:right w:type="dxa" w:w="90"/>
            </w:tcMar>
          </w:tcPr>
          <w:p>
            <w:pPr>
              <w:spacing w:after="20" w:line="258"/>
            </w:pPr>
            <w:r>
              <w:rPr>
                <w:b/>
                <w:bCs/>
                <w:sz w:val="19"/>
                <w:szCs w:val="19"/>
              </w:rPr>
              <w:t xml:space="preserve">Hands-on Labs (8 labs)</w:t>
            </w:r>
          </w:p>
        </w:tc>
        <w:tc>
          <w:tcPr>
            <w:tcW w:type="dxa" w:w="120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35%</w:t>
            </w:r>
          </w:p>
        </w:tc>
        <w:tc>
          <w:tcPr>
            <w:tcW w:type="dxa" w:w="4760"/>
            <w:shd w:fill="FFFFFF" w:color="auto" w:val="clear"/>
            <w:tcMar>
              <w:top w:type="dxa" w:w="60"/>
              <w:left w:type="dxa" w:w="90"/>
              <w:bottom w:type="dxa" w:w="60"/>
              <w:right w:type="dxa" w:w="90"/>
            </w:tcMar>
          </w:tcPr>
          <w:p>
            <w:pPr>
              <w:spacing w:after="20" w:line="260"/>
            </w:pPr>
            <w:r>
              <w:rPr>
                <w:b w:val="false"/>
                <w:bCs w:val="false"/>
                <w:color w:val="000000"/>
                <w:sz w:val="19"/>
                <w:szCs w:val="19"/>
              </w:rPr>
              <w:t xml:space="preserve">Weekly applied coding assignments building real AI features.</w:t>
            </w:r>
          </w:p>
        </w:tc>
      </w:tr>
      <w:tr>
        <w:tc>
          <w:tcPr>
            <w:tcW w:type="dxa" w:w="3400"/>
            <w:shd w:fill="F2F2F2" w:color="auto" w:val="clear"/>
            <w:tcMar>
              <w:top w:type="dxa" w:w="60"/>
              <w:left w:type="dxa" w:w="90"/>
              <w:bottom w:type="dxa" w:w="60"/>
              <w:right w:type="dxa" w:w="90"/>
            </w:tcMar>
          </w:tcPr>
          <w:p>
            <w:pPr>
              <w:spacing w:after="20" w:line="258"/>
            </w:pPr>
            <w:r>
              <w:rPr>
                <w:b/>
                <w:bCs/>
                <w:sz w:val="19"/>
                <w:szCs w:val="19"/>
              </w:rPr>
              <w:t xml:space="preserve">Quizzes (2) &amp; Participation</w:t>
            </w:r>
          </w:p>
        </w:tc>
        <w:tc>
          <w:tcPr>
            <w:tcW w:type="dxa" w:w="120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15%</w:t>
            </w:r>
          </w:p>
        </w:tc>
        <w:tc>
          <w:tcPr>
            <w:tcW w:type="dxa" w:w="4760"/>
            <w:shd w:fill="F2F2F2" w:color="auto" w:val="clear"/>
            <w:tcMar>
              <w:top w:type="dxa" w:w="60"/>
              <w:left w:type="dxa" w:w="90"/>
              <w:bottom w:type="dxa" w:w="60"/>
              <w:right w:type="dxa" w:w="90"/>
            </w:tcMar>
          </w:tcPr>
          <w:p>
            <w:pPr>
              <w:spacing w:after="20" w:line="260"/>
            </w:pPr>
            <w:r>
              <w:rPr>
                <w:b w:val="false"/>
                <w:bCs w:val="false"/>
                <w:color w:val="000000"/>
                <w:sz w:val="19"/>
                <w:szCs w:val="19"/>
              </w:rPr>
              <w:t xml:space="preserve">Short concept checks plus in-class engagement and exercises.</w:t>
            </w:r>
          </w:p>
        </w:tc>
      </w:tr>
      <w:tr>
        <w:tc>
          <w:tcPr>
            <w:tcW w:type="dxa" w:w="3400"/>
            <w:shd w:fill="FFFFFF" w:color="auto" w:val="clear"/>
            <w:tcMar>
              <w:top w:type="dxa" w:w="60"/>
              <w:left w:type="dxa" w:w="90"/>
              <w:bottom w:type="dxa" w:w="60"/>
              <w:right w:type="dxa" w:w="90"/>
            </w:tcMar>
          </w:tcPr>
          <w:p>
            <w:pPr>
              <w:spacing w:after="20" w:line="258"/>
            </w:pPr>
            <w:r>
              <w:rPr>
                <w:b/>
                <w:bCs/>
                <w:sz w:val="19"/>
                <w:szCs w:val="19"/>
              </w:rPr>
              <w:t xml:space="preserve">Capstone Project</w:t>
            </w:r>
          </w:p>
        </w:tc>
        <w:tc>
          <w:tcPr>
            <w:tcW w:type="dxa" w:w="120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40%</w:t>
            </w:r>
          </w:p>
        </w:tc>
        <w:tc>
          <w:tcPr>
            <w:tcW w:type="dxa" w:w="4760"/>
            <w:shd w:fill="FFFFFF" w:color="auto" w:val="clear"/>
            <w:tcMar>
              <w:top w:type="dxa" w:w="60"/>
              <w:left w:type="dxa" w:w="90"/>
              <w:bottom w:type="dxa" w:w="60"/>
              <w:right w:type="dxa" w:w="90"/>
            </w:tcMar>
          </w:tcPr>
          <w:p>
            <w:pPr>
              <w:spacing w:after="20" w:line="260"/>
            </w:pPr>
            <w:r>
              <w:rPr>
                <w:b w:val="false"/>
                <w:bCs w:val="false"/>
                <w:color w:val="000000"/>
                <w:sz w:val="19"/>
                <w:szCs w:val="19"/>
              </w:rPr>
              <w:t xml:space="preserve">End-to-end production-style AI application, individually or in small teams.</w:t>
            </w:r>
          </w:p>
        </w:tc>
      </w:tr>
      <w:tr>
        <w:tc>
          <w:tcPr>
            <w:tcW w:type="dxa" w:w="3400"/>
            <w:shd w:fill="F2F2F2" w:color="auto" w:val="clear"/>
            <w:tcMar>
              <w:top w:type="dxa" w:w="60"/>
              <w:left w:type="dxa" w:w="90"/>
              <w:bottom w:type="dxa" w:w="60"/>
              <w:right w:type="dxa" w:w="90"/>
            </w:tcMar>
          </w:tcPr>
          <w:p>
            <w:pPr>
              <w:spacing w:after="20" w:line="258"/>
            </w:pPr>
            <w:r>
              <w:rPr>
                <w:b/>
                <w:bCs/>
                <w:sz w:val="19"/>
                <w:szCs w:val="19"/>
              </w:rPr>
              <w:t xml:space="preserve">Capstone Presentation &amp; Demo</w:t>
            </w:r>
          </w:p>
        </w:tc>
        <w:tc>
          <w:tcPr>
            <w:tcW w:type="dxa" w:w="120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10%</w:t>
            </w:r>
          </w:p>
        </w:tc>
        <w:tc>
          <w:tcPr>
            <w:tcW w:type="dxa" w:w="4760"/>
            <w:shd w:fill="F2F2F2" w:color="auto" w:val="clear"/>
            <w:tcMar>
              <w:top w:type="dxa" w:w="60"/>
              <w:left w:type="dxa" w:w="90"/>
              <w:bottom w:type="dxa" w:w="60"/>
              <w:right w:type="dxa" w:w="90"/>
            </w:tcMar>
          </w:tcPr>
          <w:p>
            <w:pPr>
              <w:spacing w:after="20" w:line="260"/>
            </w:pPr>
            <w:r>
              <w:rPr>
                <w:b w:val="false"/>
                <w:bCs w:val="false"/>
                <w:color w:val="000000"/>
                <w:sz w:val="19"/>
                <w:szCs w:val="19"/>
              </w:rPr>
              <w:t xml:space="preserve">Live demo, code walkthrough, and Q&amp;A in Week 10.</w:t>
            </w:r>
          </w:p>
        </w:tc>
      </w:tr>
      <w:tr>
        <w:tc>
          <w:tcPr>
            <w:tcW w:type="dxa" w:w="3400"/>
            <w:shd w:fill="2E5496" w:color="auto" w:val="clear"/>
            <w:tcMar>
              <w:top w:type="dxa" w:w="60"/>
              <w:left w:type="dxa" w:w="90"/>
              <w:bottom w:type="dxa" w:w="60"/>
              <w:right w:type="dxa" w:w="90"/>
            </w:tcMar>
          </w:tcPr>
          <w:p>
            <w:pPr>
              <w:spacing w:after="20" w:line="258"/>
            </w:pPr>
            <w:r>
              <w:rPr>
                <w:b/>
                <w:bCs/>
                <w:color w:val="FFFFFF"/>
                <w:sz w:val="19"/>
                <w:szCs w:val="19"/>
              </w:rPr>
              <w:t xml:space="preserve">Total</w:t>
            </w:r>
          </w:p>
        </w:tc>
        <w:tc>
          <w:tcPr>
            <w:tcW w:type="dxa" w:w="1200"/>
            <w:shd w:fill="2E5496" w:color="auto" w:val="clear"/>
            <w:tcMar>
              <w:top w:type="dxa" w:w="60"/>
              <w:left w:type="dxa" w:w="90"/>
              <w:bottom w:type="dxa" w:w="60"/>
              <w:right w:type="dxa" w:w="90"/>
            </w:tcMar>
          </w:tcPr>
          <w:p>
            <w:pPr>
              <w:spacing w:after="20" w:line="258"/>
            </w:pPr>
            <w:r>
              <w:rPr>
                <w:b/>
                <w:bCs/>
                <w:color w:val="FFFFFF"/>
                <w:sz w:val="19"/>
                <w:szCs w:val="19"/>
              </w:rPr>
              <w:t xml:space="preserve">100%</w:t>
            </w:r>
          </w:p>
        </w:tc>
        <w:tc>
          <w:tcPr>
            <w:tcW w:type="dxa" w:w="4760"/>
            <w:shd w:fill="2E5496" w:color="auto" w:val="clear"/>
            <w:tcMar>
              <w:top w:type="dxa" w:w="60"/>
              <w:left w:type="dxa" w:w="90"/>
              <w:bottom w:type="dxa" w:w="60"/>
              <w:right w:type="dxa" w:w="90"/>
            </w:tcMar>
          </w:tcPr>
          <w:p>
            <w:pPr>
              <w:spacing w:after="20" w:line="258"/>
            </w:pPr>
            <w:r>
              <w:rPr>
                <w:sz w:val="19"/>
                <w:szCs w:val="19"/>
              </w:rPr>
              <w:t xml:space="preserve"/>
            </w:r>
          </w:p>
        </w:tc>
      </w:tr>
    </w:tbl>
    <w:p>
      <w:pPr>
        <w:spacing w:after="100"/>
      </w:pPr>
    </w:p>
    <w:p>
      <w:pPr>
        <w:pStyle w:val="Heading2"/>
        <w:spacing w:after="100" w:before="220"/>
      </w:pPr>
      <w:r>
        <w:rPr>
          <w:b/>
          <w:bCs/>
          <w:color w:val="2E5496"/>
          <w:sz w:val="26"/>
          <w:szCs w:val="26"/>
        </w:rPr>
        <w:t xml:space="preserve">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90"/>
              <w:bottom w:type="dxa" w:w="60"/>
              <w:right w:type="dxa" w:w="90"/>
            </w:tcMar>
          </w:tcPr>
          <w:p>
            <w:pPr>
              <w:spacing w:after="20" w:line="260"/>
              <w:jc w:val="center"/>
            </w:pPr>
            <w:r>
              <w:rPr>
                <w:b/>
                <w:bCs/>
                <w:color w:val="FFFFFF"/>
                <w:sz w:val="19"/>
                <w:szCs w:val="19"/>
              </w:rPr>
              <w:t xml:space="preserve">Letter Grade</w:t>
            </w:r>
          </w:p>
        </w:tc>
        <w:tc>
          <w:tcPr>
            <w:tcW w:type="dxa" w:w="4680"/>
            <w:shd w:fill="1F3864" w:color="auto" w:val="clear"/>
            <w:tcMar>
              <w:top w:type="dxa" w:w="60"/>
              <w:left w:type="dxa" w:w="90"/>
              <w:bottom w:type="dxa" w:w="60"/>
              <w:right w:type="dxa" w:w="90"/>
            </w:tcMar>
          </w:tcPr>
          <w:p>
            <w:pPr>
              <w:spacing w:after="20" w:line="260"/>
              <w:jc w:val="center"/>
            </w:pPr>
            <w:r>
              <w:rPr>
                <w:b/>
                <w:bCs/>
                <w:color w:val="FFFFFF"/>
                <w:sz w:val="19"/>
                <w:szCs w:val="19"/>
              </w:rPr>
              <w:t xml:space="preserve">Percentage</w:t>
            </w:r>
          </w:p>
        </w:tc>
      </w:tr>
      <w:tr>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A</w:t>
            </w:r>
          </w:p>
        </w:tc>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90–100</w:t>
            </w:r>
          </w:p>
        </w:tc>
      </w:tr>
      <w:tr>
        <w:tc>
          <w:tcPr>
            <w:tcW w:type="dxa" w:w="468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B</w:t>
            </w:r>
          </w:p>
        </w:tc>
        <w:tc>
          <w:tcPr>
            <w:tcW w:type="dxa" w:w="468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80–89</w:t>
            </w:r>
          </w:p>
        </w:tc>
      </w:tr>
      <w:tr>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C</w:t>
            </w:r>
          </w:p>
        </w:tc>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70–79</w:t>
            </w:r>
          </w:p>
        </w:tc>
      </w:tr>
      <w:tr>
        <w:tc>
          <w:tcPr>
            <w:tcW w:type="dxa" w:w="468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D</w:t>
            </w:r>
          </w:p>
        </w:tc>
        <w:tc>
          <w:tcPr>
            <w:tcW w:type="dxa" w:w="4680"/>
            <w:shd w:fill="F2F2F2"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60–69</w:t>
            </w:r>
          </w:p>
        </w:tc>
      </w:tr>
      <w:tr>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F</w:t>
            </w:r>
          </w:p>
        </w:tc>
        <w:tc>
          <w:tcPr>
            <w:tcW w:type="dxa" w:w="4680"/>
            <w:shd w:fill="FFFFFF" w:color="auto" w:val="clear"/>
            <w:tcMar>
              <w:top w:type="dxa" w:w="60"/>
              <w:left w:type="dxa" w:w="90"/>
              <w:bottom w:type="dxa" w:w="60"/>
              <w:right w:type="dxa" w:w="90"/>
            </w:tcMar>
          </w:tcPr>
          <w:p>
            <w:pPr>
              <w:spacing w:after="20" w:line="260"/>
              <w:jc w:val="center"/>
            </w:pPr>
            <w:r>
              <w:rPr>
                <w:b w:val="false"/>
                <w:bCs w:val="false"/>
                <w:color w:val="000000"/>
                <w:sz w:val="19"/>
                <w:szCs w:val="19"/>
              </w:rPr>
              <w:t xml:space="preserve">Below 60</w:t>
            </w:r>
          </w:p>
        </w:tc>
      </w:tr>
    </w:tbl>
    <w:p>
      <w:pPr>
        <w:pStyle w:val="Heading1"/>
        <w:spacing w:after="140" w:before="320"/>
      </w:pPr>
      <w:r>
        <w:rPr>
          <w:b/>
          <w:bCs/>
          <w:color w:val="1F3864"/>
          <w:sz w:val="30"/>
          <w:szCs w:val="30"/>
        </w:rPr>
        <w:t xml:space="preserve">Capstone Project</w:t>
      </w:r>
    </w:p>
    <w:p>
      <w:pPr>
        <w:spacing w:after="100" w:line="276"/>
      </w:pPr>
      <w:r>
        <w:rPr>
          <w:sz w:val="22"/>
          <w:szCs w:val="22"/>
        </w:rPr>
        <w:t xml:space="preserve">The capstone is the centerpiece of the course. Working individually or in small teams, students design and build a complete AI-powered application that integrates several techniques from the course — for example, a RAG-based knowledge assistant, a semantic search engine, an agentic workflow tool, or a domain-specific chatbot with function calling.</w:t>
      </w:r>
    </w:p>
    <w:p>
      <w:pPr>
        <w:spacing w:after="60" w:line="276"/>
      </w:pPr>
      <w:r>
        <w:rPr>
          <w:sz w:val="22"/>
          <w:szCs w:val="22"/>
        </w:rPr>
        <w:t xml:space="preserve">Key milestones:</w:t>
      </w:r>
    </w:p>
    <w:p>
      <w:pPr>
        <w:pStyle w:val="ListParagraph"/>
        <w:numPr>
          <w:ilvl w:val="0"/>
          <w:numId w:val="2"/>
        </w:numPr>
        <w:spacing w:after="60" w:line="268"/>
      </w:pPr>
      <w:r>
        <w:rPr>
          <w:b/>
          <w:bCs/>
          <w:sz w:val="22"/>
          <w:szCs w:val="22"/>
        </w:rPr>
        <w:t xml:space="preserve">Week 7 — </w:t>
      </w:r>
      <w:r>
        <w:rPr>
          <w:sz w:val="22"/>
          <w:szCs w:val="22"/>
        </w:rPr>
        <w:t xml:space="preserve">Project proposal due (problem, users, chosen AI techniques, architecture sketch).</w:t>
      </w:r>
    </w:p>
    <w:p>
      <w:pPr>
        <w:pStyle w:val="ListParagraph"/>
        <w:numPr>
          <w:ilvl w:val="0"/>
          <w:numId w:val="2"/>
        </w:numPr>
        <w:spacing w:after="60" w:line="268"/>
      </w:pPr>
      <w:r>
        <w:rPr>
          <w:b/>
          <w:bCs/>
          <w:sz w:val="22"/>
          <w:szCs w:val="22"/>
        </w:rPr>
        <w:t xml:space="preserve">Week 10 — </w:t>
      </w:r>
      <w:r>
        <w:rPr>
          <w:sz w:val="22"/>
          <w:szCs w:val="22"/>
        </w:rPr>
        <w:t xml:space="preserve">Final deliverable: working application, source repository with tests and documentation, and a live demo/presentation.</w:t>
      </w:r>
    </w:p>
    <w:p>
      <w:pPr>
        <w:spacing w:after="100" w:line="276"/>
      </w:pPr>
      <w:r>
        <w:rPr>
          <w:sz w:val="22"/>
          <w:szCs w:val="22"/>
        </w:rPr>
        <w:t xml:space="preserve">Projects are evaluated on functionality, appropriate use of AI techniques, code quality and engineering practice, and the clarity of the demo and documentation.</w:t>
      </w:r>
    </w:p>
    <w:p>
      <w:pPr>
        <w:pStyle w:val="Heading1"/>
        <w:spacing w:after="140" w:before="320"/>
      </w:pPr>
      <w:r>
        <w:rPr>
          <w:b/>
          <w:bCs/>
          <w:color w:val="1F3864"/>
          <w:sz w:val="30"/>
          <w:szCs w:val="30"/>
        </w:rPr>
        <w:t xml:space="preserve">Course Policies</w:t>
      </w:r>
    </w:p>
    <w:p>
      <w:pPr>
        <w:pStyle w:val="Heading2"/>
        <w:spacing w:after="100" w:before="220"/>
      </w:pPr>
      <w:r>
        <w:rPr>
          <w:b/>
          <w:bCs/>
          <w:color w:val="2E5496"/>
          <w:sz w:val="26"/>
          <w:szCs w:val="26"/>
        </w:rPr>
        <w:t xml:space="preserve">Attendance &amp; Participation</w:t>
      </w:r>
    </w:p>
    <w:p>
      <w:pPr>
        <w:spacing w:after="120" w:line="276"/>
      </w:pPr>
      <w:r>
        <w:rPr>
          <w:sz w:val="22"/>
          <w:szCs w:val="22"/>
        </w:rPr>
        <w:t xml:space="preserve">Regular attendance is expected. Because sessions include live coding and labs, active participation is part of the grade. Students are responsible for material missed during any absence.</w:t>
      </w:r>
    </w:p>
    <w:p>
      <w:pPr>
        <w:pStyle w:val="Heading2"/>
        <w:spacing w:after="100" w:before="220"/>
      </w:pPr>
      <w:r>
        <w:rPr>
          <w:b/>
          <w:bCs/>
          <w:color w:val="2E5496"/>
          <w:sz w:val="26"/>
          <w:szCs w:val="26"/>
        </w:rPr>
        <w:t xml:space="preserve">Late Work</w:t>
      </w:r>
    </w:p>
    <w:p>
      <w:pPr>
        <w:spacing w:after="120" w:line="276"/>
      </w:pPr>
      <w:r>
        <w:rPr>
          <w:sz w:val="22"/>
          <w:szCs w:val="22"/>
        </w:rPr>
        <w:t xml:space="preserve">Labs submitted late lose 10% per day up to three days; after that they are not accepted without prior arrangement. Capstone milestone deadlines are firm.</w:t>
      </w:r>
    </w:p>
    <w:p>
      <w:pPr>
        <w:pStyle w:val="Heading2"/>
        <w:spacing w:after="100" w:before="220"/>
      </w:pPr>
      <w:r>
        <w:rPr>
          <w:b/>
          <w:bCs/>
          <w:color w:val="2E5496"/>
          <w:sz w:val="26"/>
          <w:szCs w:val="26"/>
        </w:rPr>
        <w:t xml:space="preserve">Academic Integrity</w:t>
      </w:r>
    </w:p>
    <w:p>
      <w:pPr>
        <w:spacing w:after="120" w:line="276"/>
      </w:pPr>
      <w:r>
        <w:rPr>
          <w:sz w:val="22"/>
          <w:szCs w:val="22"/>
        </w:rPr>
        <w:t xml:space="preserve">Students may use AI coding assistants and reference DataCamp materials, but all submitted work must be their own and properly attributed. Presenting others' code or generated solutions as original work without understanding or citation constitutes a violation of the university's academic integrity policy.</w:t>
      </w:r>
    </w:p>
    <w:p>
      <w:pPr>
        <w:pStyle w:val="Heading2"/>
        <w:spacing w:after="100" w:before="220"/>
      </w:pPr>
      <w:r>
        <w:rPr>
          <w:b/>
          <w:bCs/>
          <w:color w:val="2E5496"/>
          <w:sz w:val="26"/>
          <w:szCs w:val="26"/>
        </w:rPr>
        <w:t xml:space="preserve">Getting Help</w:t>
      </w:r>
    </w:p>
    <w:p>
      <w:pPr>
        <w:spacing w:after="120" w:line="276"/>
      </w:pPr>
      <w:r>
        <w:rPr>
          <w:sz w:val="22"/>
          <w:szCs w:val="22"/>
        </w:rPr>
        <w:t xml:space="preserve">Support is available during instructor office hours, through the course discussion channel, and via the linked DataCamp modules for additional practice.</w:t>
      </w:r>
    </w:p>
    <w:p>
      <w:pPr>
        <w:pStyle w:val="Heading1"/>
        <w:spacing w:after="140" w:before="320"/>
      </w:pPr>
      <w:r>
        <w:rPr>
          <w:b/>
          <w:bCs/>
          <w:color w:val="1F3864"/>
          <w:sz w:val="30"/>
          <w:szCs w:val="30"/>
        </w:rPr>
        <w:t xml:space="preserve">Certification Pathway</w:t>
      </w:r>
    </w:p>
    <w:p>
      <w:pPr>
        <w:spacing w:after="200" w:line="276"/>
      </w:pPr>
      <w:r>
        <w:rPr>
          <w:sz w:val="22"/>
          <w:szCs w:val="22"/>
        </w:rPr>
        <w:t xml:space="preserve">This course is aligned with DataCamp's Associate AI Engineer for Developers certification. Students who complete the course will have covered the knowledge domains assessed by the certification — AI governance, model usage, programming, and application development — and are encouraged to sit the timed and practical certification exams to earn an industry-recognized credential. Note that the certification enrollment carries its own 30-day completion window, managed directly through DataCamp.</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2026-07-28T15:07:56.937Z</dcterms:created>
  <dcterms:modified xsi:type="dcterms:W3CDTF">2026-07-28T15:07:56.937Z</dcterms:modified>
</cp:coreProperties>
</file>

<file path=docProps/custom.xml><?xml version="1.0" encoding="utf-8"?>
<Properties xmlns="http://schemas.openxmlformats.org/officeDocument/2006/custom-properties" xmlns:vt="http://schemas.openxmlformats.org/officeDocument/2006/docPropsVTypes"/>
</file>