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How Did Gender, Labor, Resistance, Revolution, and Abolition Reshape Diasporic Freedom Struggles?</w:t>
      </w:r>
    </w:p>
    <w:p>
      <w:pPr>
        <w:pStyle w:val="Title"/>
        <w:rPr>
          <w:b w:val="false"/>
          <w:bCs w:val="false"/>
          <w:i/>
          <w:iCs/>
        </w:rPr>
      </w:pPr>
      <w:r>
        <w:rPr>
          <w:b w:val="false"/>
          <w:bCs w:val="false"/>
          <w:i/>
          <w:iCs/>
        </w:rPr>
        <w:t>By: Darin L. Wesley</w:t>
      </w:r>
    </w:p>
    <w:p>
      <w:pPr>
        <w:pStyle w:val="Normal"/>
        <w:rPr/>
      </w:pPr>
      <w:r>
        <w:rPr/>
      </w:r>
    </w:p>
    <w:p>
      <w:pPr>
        <w:pStyle w:val="Epigraph"/>
        <w:rPr/>
      </w:pPr>
      <w:r>
        <w:rPr/>
        <w:t>“</w:t>
      </w:r>
      <w:r>
        <w:rPr/>
        <w:t>The Fireburn addresses the heart of humanity and shows us what happens when people are robbed of their inalienable rights.”</w:t>
      </w:r>
    </w:p>
    <w:p>
      <w:pPr>
        <w:pStyle w:val="Normal"/>
        <w:ind w:firstLine="720"/>
        <w:rPr/>
      </w:pPr>
      <w:r>
        <w:rPr/>
        <w:t>The exploitation of black bodies, mind and soul has been combatted throughout time with rigorous and relentless resistance and revolutions. The fight for freedom due to the reality of the African Diaspora is truly a story of the rich and imperishable culture of Africa. Adaptability and endurance, while also true of culture, are the traits of the people through which life, art, and culture live on. Taken together, gender, labor, resistance, revolution, and abolition reshaped diasporic freedom struggles by turning shared exploitation into organized resistance, and resistance into a global demand that freedom be redefined as a right belonging to all people.</w:t>
      </w:r>
    </w:p>
    <w:p>
      <w:pPr>
        <w:pStyle w:val="Heading1"/>
        <w:rPr/>
      </w:pPr>
      <w:r>
        <w:rPr/>
        <w:t>Gender &amp; Labor</w:t>
      </w:r>
    </w:p>
    <w:p>
      <w:pPr>
        <w:pStyle w:val="Normal"/>
        <w:ind w:firstLine="720"/>
        <w:rPr/>
      </w:pPr>
      <w:r>
        <w:rPr/>
        <w:t>Gender and labor sat at the center of that transformation. One of the myriad of ways that freedom was fought for in the diaspora was through the very labor being exploited, and for women, often much more. While the massive and lucrative economic engine that was slavery exploited physical labor, women were often not only sexually exploited in addition to their normal duties. This extra dimension of exploitation is further supported by the gender field-labor dominance. Derived from the William Beckford Papers by Lucille Mathurin Mair, Roaring River Estate, Jamaica (1756), 70 of 92 women were field workers vs. 28 of 84 men; Worthy Park (1789), 70/162 women vs. 29/177 men (Mair; Morgan 148). It is clear by these stats that “it was women who dominated as labourers in the fields,” and for the men, “while men monopolized specialist roles” (Morgan 147, qtd. in Joseph). This could be, in part, the reason for the rise of brave souls like Harriet Tubman, who led over 300 people as the “Moses” of the Underground Railroad despite suffering from a chronic sleeping affliction (narcolepsy). Not only this, she was also a nurse, teacher, scout, and planner of the Combahee River raid (July 1863), which freed nearly 800 people and destroyed millions in Confederate supplies by burning plantations, destroying roadways, and collecting livestock and crops (Dawson; National Archives). Another brave leader was Queen Mary Thomas (with Queen Agnes and Queen Matilda), who led the 1878 St. Croix “Fireburn” labor revolt, burning estates with rum and kerosene (Walker). The exploitation of Black labor, in other words, produced its opposite: women like Tubman and Thomas turned the very labor and knowledge the system depended on into tools of liberation, and their leadership tied the Caribbean and North America into one connected struggle.</w:t>
      </w:r>
    </w:p>
    <w:p>
      <w:pPr>
        <w:pStyle w:val="Heading1"/>
        <w:rPr/>
      </w:pPr>
      <w:r>
        <w:rPr/>
        <w:t>Resistance &amp; Revolution</w:t>
      </w:r>
    </w:p>
    <w:p>
      <w:pPr>
        <w:pStyle w:val="Normal"/>
        <w:ind w:firstLine="720"/>
        <w:rPr/>
      </w:pPr>
      <w:r>
        <w:rPr/>
        <w:t xml:space="preserve">Resistance to oppression takes many forms, with revolution being but one. Of the most famous abolitionists and therefore a symbol of resistance is Frederick Douglass, when he brutally fought against his master Edward Covey for a grueling two hours. This, on an individual level, shows the resistance within oneself. Later he went on to found and edit </w:t>
      </w:r>
      <w:r>
        <w:rPr>
          <w:i/>
        </w:rPr>
        <w:t>The North Star</w:t>
      </w:r>
      <w:r>
        <w:rPr/>
        <w:t xml:space="preserve"> (1847), which was an influential abolitionist paper. One of the many ways slaves were kept obedient was by ensuring their ignorance, making literacy one of the strongest and scariest forms of resistance against oppression. Proof of this is when Douglass’s slave owner, Mr. Auld, warned that reading makes a slave “unmanageable” and “of no value to his master” after learning his wife was teaching a young Frederick how to read. Douglass later called this the “pathway from slavery to freedom” (Bill of Rights Institute). The extent to which resistance was needed included religion, as this constituted another path for control. One of the most renowned and deliberate acts of resistance to the indoctrination and assimilation of their oppressors’ religion was when Hatuey (Taíno chief) refused Christian conversion before execution. In an exchange with the commander of his execution, he stated he would rather go to hell after asking if Spaniards go to heaven. This was, in an extrapolated meaning, “so he would not spend eternity in heaven with his cruel oppressors” (Las Casas). A powerful statement for the cruelty that not only he has suffered but his home, his people, family, and at large victims of slavery. Through the words of ones like Hatuey and the endless bloodshed of wars fought like the ten years in Cuba, resistance shows up in many forms while the revolt, if nothing changes, is simply the inevitable outcome. Resistance became revolution when it moved from individual defiance to collective, organized revolt. In the Caribbean, enslaved people who escaped into the mountains as Maroons built independent communities that repeatedly defeated colonial armies, and in Jamaica a leader named Cudjoe forced the British to negotiate the 1738 Maroon Treaty, proving that the enslaved could win land and self-rule (Francis). Those communities helped inspire more open revolts, including Tacky’s Revolt in Jamaica in 1760, when more than a thousand enslaved people rose against the planters (Francis). The clearest example of all, however, is the Haitian Revolution (1791–1804), in which enslaved people led by Toussaint Louverture destroyed slavery and colonial rule and founded the first Black republic in the Americas. Haiti terrified slaveholders across the Atlantic and inspired the enslaved everywhere, linking the Caribbean, the United States, and the wider Atlantic world by proving that freedom was not granted by the powerful but seized by the oppressed. Taken together, these uprisings show how revolution reshaped diasporic freedom struggles: each revolt, even when it failed, expanded what people believed was possible and pushed the meaning of freedom from a privilege of the few toward a universal right.</w:t>
      </w:r>
    </w:p>
    <w:p>
      <w:pPr>
        <w:pStyle w:val="Heading1"/>
        <w:rPr/>
      </w:pPr>
      <w:r>
        <w:rPr/>
        <w:t>Abolition</w:t>
      </w:r>
    </w:p>
    <w:p>
      <w:pPr>
        <w:pStyle w:val="Normal"/>
        <w:ind w:firstLine="720"/>
        <w:rPr/>
      </w:pPr>
      <w:r>
        <w:rPr/>
        <w:t xml:space="preserve">Abolition was the result of these earlier struggles, transformed from a distant hope into an international movement. All of the struggles of the victims of the African Diaspora push for one common goal and struggle. Some name it freedom, one would call it life; the abolition of slavery and the ability plus freedom to live and experience life as any other citizen of the respective country. Many great abolitionists over time pushed all for the same thing, just in their own way. Harriet Beecher Stowe was an author, articulate with a pen, who wrote </w:t>
      </w:r>
      <w:r>
        <w:rPr>
          <w:i/>
        </w:rPr>
        <w:t>Uncle Tom’s Cabin</w:t>
      </w:r>
      <w:r>
        <w:rPr/>
        <w:t>, which depicted the clearly harsh and inhumane conditions experienced by enslaved African Americans (Michals). Her work brought great awareness to the harsh reality of slavery in the North, fueling much discourse. Revisiting Frederick Douglass, he was a powerful speaker able to incite discussion immensely and immediately. His work - autobiographies, newspapers, and speeches - became much of the rallying cry that not only kept the discussion of abolition active and alive but truly empathized with the everyday man - to think beyond themselves and remind everyone that struggle in the pursuit of liberty would be the exact thing desired had the roles been reversed (Trent). Both Stowe and Douglass show that abolition reshaped freedom struggles by turning private suffering into public argument: literacy and print let enslaved and formerly enslaved people circulate their own words, change Northern opinion, and pressure governments to act. Abolition therefore changed the meaning of freedom itself, moving it from individual manumission toward the collective, legal freedom of millions and proving that the resistance born of slavery could rewrite the law.</w:t>
      </w:r>
    </w:p>
    <w:p>
      <w:pPr>
        <w:pStyle w:val="Heading1"/>
        <w:rPr/>
      </w:pPr>
      <w:r>
        <w:rPr/>
        <w:t>Legacy &amp; Continuity - Fuel</w:t>
      </w:r>
    </w:p>
    <w:p>
      <w:pPr>
        <w:pStyle w:val="Normal"/>
        <w:ind w:firstLine="720"/>
        <w:rPr/>
      </w:pPr>
      <w:r>
        <w:rPr/>
        <w:t>The struggle did not end with abolition; it changed form, and the same pursuit of freedom continued into the twentieth century. Together, the centuries of diasporic freedom struggle are riddled with measurable levels of pain and grief but also resilience and community. That resilience has always been the greater threat to oppressors, though few of them ever understood it. Take the MOVE bombing and the 1921 Tulsa race massacre, where communities of mainly African Americans were targeted by government, directly in the first case and, arguably, indirectly in the second. Even so, it is through love and community that humanity can prevail, if only we would set aside the minute and inconsequential. There is one thread that ties us all, one that cannot be forgotten or taken for granted, for once it is lost it is lost forever: life. “Right is of no sex, Truth is of no color, God is the Father of us all, and we are brethren.”, Frederick Douglass. Seen as a whole, gender, labor, resistance, revolution, and abolition were never separate stories but one connected struggle in which exploited people refused the meaning of freedom handed to them and instead made it themselves. That is why this history still matters: the freedom struggles of the African Diaspora did not only end slavery; they permanently expanded who freedom belongs to and what it can mean.</w:t>
      </w:r>
    </w:p>
    <w:p>
      <w:pPr>
        <w:pStyle w:val="Heading1"/>
        <w:rPr/>
      </w:pPr>
      <w:r>
        <w:rPr/>
        <w:t>Works Cited</w:t>
      </w:r>
    </w:p>
    <w:p>
      <w:pPr>
        <w:pStyle w:val="WorksCited"/>
        <w:rPr/>
      </w:pPr>
      <w:r>
        <w:rPr/>
        <w:t>“</w:t>
      </w:r>
      <w:r>
        <w:rPr/>
        <w:t xml:space="preserve">Assassination of Martin Luther King, Jr.” </w:t>
      </w:r>
      <w:r>
        <w:rPr>
          <w:i/>
        </w:rPr>
        <w:t>The Martin Luther King, Jr. Research and Education Institute</w:t>
      </w:r>
      <w:r>
        <w:rPr/>
        <w:t>, Stanford University, kinginstitute.stanford.edu/assassination-martin-luther-king-jr. Accessed 14 Oct. 2026.</w:t>
      </w:r>
    </w:p>
    <w:p>
      <w:pPr>
        <w:pStyle w:val="WorksCited"/>
        <w:rPr/>
      </w:pPr>
      <w:r>
        <w:rPr/>
        <w:t xml:space="preserve">Bill of Rights Institute. “Frederick Douglass and Identity – Handout A: Narrative.” </w:t>
      </w:r>
      <w:r>
        <w:rPr>
          <w:i/>
        </w:rPr>
        <w:t>Bill of Rights Institute</w:t>
      </w:r>
      <w:r>
        <w:rPr/>
        <w:t>, 16 Nov. 2020, billofrightsinstitute.org/activities/frederick-douglass-and-identity-handout-a-narrative/.</w:t>
      </w:r>
    </w:p>
    <w:p>
      <w:pPr>
        <w:pStyle w:val="WorksCited"/>
        <w:rPr/>
      </w:pPr>
      <w:r>
        <w:rPr/>
        <w:t xml:space="preserve">Craton, Michael, and James Walvin. </w:t>
      </w:r>
      <w:r>
        <w:rPr>
          <w:i/>
        </w:rPr>
        <w:t>A History of Worthy Park 1670–1970</w:t>
      </w:r>
      <w:r>
        <w:rPr/>
        <w:t>. Oxford University Press, 1970.</w:t>
      </w:r>
    </w:p>
    <w:p>
      <w:pPr>
        <w:pStyle w:val="WorksCited"/>
        <w:rPr/>
      </w:pPr>
      <w:r>
        <w:rPr/>
        <w:t xml:space="preserve">Dawson, Shay. “Harriet Tubman-Davis.” </w:t>
      </w:r>
      <w:r>
        <w:rPr>
          <w:i/>
        </w:rPr>
        <w:t>National Women’s History Museum</w:t>
      </w:r>
      <w:r>
        <w:rPr/>
        <w:t>, 2024, www.womenshistory.org/education-resources/biographies/harriet-tubman.</w:t>
      </w:r>
    </w:p>
    <w:p>
      <w:pPr>
        <w:pStyle w:val="WorksCited"/>
        <w:rPr/>
      </w:pPr>
      <w:r>
        <w:rPr/>
        <w:t xml:space="preserve">Francis, Javaun. “The Price’s near-200-year stewardship.” </w:t>
      </w:r>
      <w:r>
        <w:rPr>
          <w:i/>
        </w:rPr>
        <w:t>Medium</w:t>
      </w:r>
      <w:r>
        <w:rPr/>
        <w:t>, 3 Oct. 2025, medium.com/@javaunf/the-prices-near-200-year-stewardship-c06817350cf1.</w:t>
      </w:r>
    </w:p>
    <w:p>
      <w:pPr>
        <w:pStyle w:val="WorksCited"/>
        <w:rPr/>
      </w:pPr>
      <w:r>
        <w:rPr/>
        <w:t>“</w:t>
      </w:r>
      <w:r>
        <w:rPr/>
        <w:t xml:space="preserve">Harriet Tubman (c. March 1822 – March 10, 1913).” </w:t>
      </w:r>
      <w:r>
        <w:rPr>
          <w:i/>
        </w:rPr>
        <w:t>National Archives</w:t>
      </w:r>
      <w:r>
        <w:rPr/>
        <w:t>, U.S. National Archives and Records Administration, www.archives.gov/research/african-americans/individuals/harriet-tubman. Accessed 14 Oct. 2026.</w:t>
      </w:r>
    </w:p>
    <w:p>
      <w:pPr>
        <w:pStyle w:val="WorksCited"/>
        <w:rPr/>
      </w:pPr>
      <w:r>
        <w:rPr/>
        <w:t xml:space="preserve">Joseph, O’Neil. “Sustenance and Survival: Women, Food, and Sovereignty in Postemancipation Tobago.” </w:t>
      </w:r>
      <w:r>
        <w:rPr>
          <w:i/>
        </w:rPr>
        <w:t>New West Indian Guide / Nieuwe West-Indische Gids</w:t>
      </w:r>
      <w:r>
        <w:rPr/>
        <w:t>, vol. 96, no. 3–4, 2022, pp. 266–289.</w:t>
      </w:r>
    </w:p>
    <w:p>
      <w:pPr>
        <w:pStyle w:val="WorksCited"/>
        <w:rPr/>
      </w:pPr>
      <w:r>
        <w:rPr/>
        <w:t xml:space="preserve">Las Casas, Bartolomé de. </w:t>
      </w:r>
      <w:r>
        <w:rPr>
          <w:i/>
        </w:rPr>
        <w:t>A Short Account of the Destruction of the Indies</w:t>
      </w:r>
      <w:r>
        <w:rPr/>
        <w:t>. Translated by Nigel Griffin, Penguin Books, 1992.</w:t>
      </w:r>
    </w:p>
    <w:p>
      <w:pPr>
        <w:pStyle w:val="WorksCited"/>
        <w:rPr/>
      </w:pPr>
      <w:r>
        <w:rPr/>
        <w:t xml:space="preserve">Mair, Lucille Mathurin. “Women Field Workers in Jamaica During Slavery.” </w:t>
      </w:r>
      <w:r>
        <w:rPr>
          <w:i/>
        </w:rPr>
        <w:t>The 1986 Elsa Goveia Memorial Lecture</w:t>
      </w:r>
      <w:r>
        <w:rPr/>
        <w:t>, Department of History, University of the West Indies, 1987.</w:t>
      </w:r>
    </w:p>
    <w:p>
      <w:pPr>
        <w:pStyle w:val="WorksCited"/>
        <w:rPr/>
      </w:pPr>
      <w:r>
        <w:rPr/>
        <w:t xml:space="preserve">Michals, Debra. “Harriet Beecher Stowe.” </w:t>
      </w:r>
      <w:r>
        <w:rPr>
          <w:i/>
        </w:rPr>
        <w:t>National Women’s History Museum</w:t>
      </w:r>
      <w:r>
        <w:rPr/>
        <w:t>, 2017, www.womenshistory.org/education-resources/biographies/harriet-beecher-stowe.</w:t>
      </w:r>
    </w:p>
    <w:p>
      <w:pPr>
        <w:pStyle w:val="WorksCited"/>
        <w:rPr/>
      </w:pPr>
      <w:r>
        <w:rPr/>
        <w:t xml:space="preserve">Morgan, Philip D. “The Black Experience in the British Empire, 1680–1810.” </w:t>
      </w:r>
      <w:r>
        <w:rPr>
          <w:i/>
        </w:rPr>
        <w:t>The Oxford History of the British Empire, Vol. 2: The Eighteenth Century</w:t>
      </w:r>
      <w:r>
        <w:rPr/>
        <w:t>, edited by P. J. Marshall, Oxford University Press, 1998, pp. 465–486.</w:t>
      </w:r>
    </w:p>
    <w:p>
      <w:pPr>
        <w:pStyle w:val="WorksCited"/>
        <w:rPr/>
      </w:pPr>
      <w:r>
        <w:rPr/>
        <w:t>“</w:t>
      </w:r>
      <w:r>
        <w:rPr/>
        <w:t xml:space="preserve">Queen Mary Thomas.” </w:t>
      </w:r>
      <w:r>
        <w:rPr>
          <w:i/>
        </w:rPr>
        <w:t>Heritage.vi</w:t>
      </w:r>
      <w:r>
        <w:rPr/>
        <w:t>, heritage.vi/queen-mary-thomas/. Accessed 14 Oct. 2026.</w:t>
      </w:r>
    </w:p>
    <w:p>
      <w:pPr>
        <w:pStyle w:val="WorksCited"/>
        <w:rPr/>
      </w:pPr>
      <w:r>
        <w:rPr/>
        <w:t xml:space="preserve">Trent, Noelle. “Frederick Douglass: Abolitionist, Journalist, Reformer, 1818–1895.” </w:t>
      </w:r>
      <w:r>
        <w:rPr>
          <w:i/>
        </w:rPr>
        <w:t>National Civil Rights Museum</w:t>
      </w:r>
      <w:r>
        <w:rPr/>
        <w:t>, civilrightsmuseum.org/blog/frederick-douglass-abolitionist-journalist-reformer-1818-1895/. Accessed 14 Oct. 2026.</w:t>
      </w:r>
    </w:p>
    <w:p>
      <w:pPr>
        <w:pStyle w:val="WorksCited"/>
        <w:rPr/>
      </w:pPr>
      <w:r>
        <w:rPr/>
        <w:t xml:space="preserve">Walker, Ezekiel J. “‘Fireburn’ is the story of three Black Queens who fought fire with fire.” </w:t>
      </w:r>
      <w:r>
        <w:rPr>
          <w:i/>
        </w:rPr>
        <w:t>The Black Wall Street Times</w:t>
      </w:r>
      <w:r>
        <w:rPr/>
        <w:t>, 8 Feb. 2023, theblackwallsttimes.com/2023/02/08/fireburn-is-the-story-of-three-black-queens-who-fought-fire-with-fire/.</w:t>
      </w:r>
    </w:p>
    <w:p>
      <w:pPr>
        <w:pStyle w:val="Heading1"/>
        <w:rPr/>
      </w:pPr>
      <w:r>
        <w:rPr/>
        <w:t>Sources Not in MLA Format</w:t>
      </w:r>
    </w:p>
    <w:p>
      <w:pPr>
        <w:pStyle w:val="WorksCited"/>
        <w:rPr/>
      </w:pPr>
      <w:r>
        <w:rPr/>
        <w:t>Roaring River Estate, Jamaica (1756), 70 of 92 women were field workers vs. 28 of 84 men. Data drawn from the William Beckford Papers and reported in Philip D. Morgan, “The Black Experience in the British Empire, 1680–1810,” p. 148; also cited in O’Neil Joseph, “Sustenance and Survival,” p. 267.</w:t>
      </w:r>
    </w:p>
    <w:p>
      <w:pPr>
        <w:pStyle w:val="WorksCited"/>
        <w:rPr/>
      </w:pPr>
      <w:r>
        <w:rPr/>
        <w:t>Worthy Park, Jamaica (1789), 70 of 162 women were field workers vs. 29 of 177 men.</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hyphenationZone w:val="0"/>
  <w:compat>
    <w:adjustLineHeightInTable/>
    <w:doNotUseHTMLParagraphAutoSpacing/>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Times New Roman"/>
        <w:sz w:val="24"/>
        <w:szCs w:val="24"/>
        <w:lang w:val="en-US" w:eastAsia="zh-CN" w:bidi="hi-IN"/>
      </w:rPr>
    </w:rPrDefault>
    <w:pPrDefault>
      <w:pPr>
        <w:suppressAutoHyphens w:val="true"/>
      </w:pPr>
    </w:pPrDefault>
  </w:docDefaults>
  <w:style w:type="paragraph" w:styleId="Normal" w:default="1">
    <w:name w:val="Normal"/>
    <w:pPr>
      <w:widowControl/>
      <w:suppressAutoHyphens w:val="true"/>
      <w:bidi w:val="0"/>
      <w:spacing w:lineRule="auto" w:line="480" w:before="0" w:after="0"/>
      <w:jc w:val="left"/>
    </w:pPr>
    <w:rPr>
      <w:rFonts w:ascii="Times New Roman" w:hAnsi="Times New Roman" w:eastAsia="DejaVu Sans" w:cs="Times New Roman"/>
      <w:color w:val="auto"/>
      <w:kern w:val="0"/>
      <w:sz w:val="24"/>
      <w:szCs w:val="24"/>
      <w:lang w:val="en-US" w:eastAsia="zh-CN" w:bidi="hi-IN"/>
    </w:rPr>
  </w:style>
  <w:style w:type="paragraph" w:styleId="Heading1">
    <w:name w:val="heading 1"/>
    <w:basedOn w:val="Normal"/>
    <w:pPr>
      <w:keepNext w:val="true"/>
      <w:spacing w:lineRule="auto" w:line="480" w:before="0" w:after="0"/>
      <w:jc w:val="left"/>
      <w:outlineLvl w:val="0"/>
    </w:pPr>
    <w:rPr>
      <w:b/>
    </w:rPr>
  </w:style>
  <w:style w:type="paragraph" w:styleId="Heading">
    <w:name w:val="Heading"/>
    <w:basedOn w:val="Normal"/>
    <w:next w:val="BodyText"/>
    <w:pPr>
      <w:keepNext w:val="true"/>
      <w:spacing w:before="240" w:after="120"/>
    </w:pPr>
    <w:rPr>
      <w:rFonts w:ascii="Liberation Sans" w:hAnsi="Liberation Sans" w:eastAsia="DejaVu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Normal"/>
    <w:pPr>
      <w:spacing w:lineRule="auto" w:line="480" w:before="0" w:after="0"/>
      <w:jc w:val="center"/>
    </w:pPr>
    <w:rPr>
      <w:b/>
    </w:rPr>
  </w:style>
  <w:style w:type="paragraph" w:styleId="Epigraph">
    <w:name w:val="Epigraph"/>
    <w:basedOn w:val="Normal"/>
    <w:pPr>
      <w:jc w:val="center"/>
    </w:pPr>
    <w:rPr>
      <w:i/>
    </w:rPr>
  </w:style>
  <w:style w:type="paragraph" w:styleId="WorksCited">
    <w:name w:val="Works Cited"/>
    <w:basedOn w:val="Normal"/>
    <w:pPr>
      <w:spacing w:lineRule="auto" w:line="480" w:before="0" w:after="0"/>
      <w:ind w:hanging="720" w:left="72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LibreOffice/26.8.0.3$Linux_X86_64 LibreOffice_project/680$Build-3</Application>
  <AppVersion>15.0000</AppVersion>
  <Pages>7</Pages>
  <Words>1781</Words>
  <Characters>10118</Characters>
  <CharactersWithSpaces>11866</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2026-10-14T23:40:36Z</dcterms:modified>
  <cp:revision>2</cp:revision>
  <dc:subject/>
  <dc:title>How Did Gender, Labor, Resistance, Revolution, and Abolition Reshape Diasporic Freedom Struggles?</dc:title>
</cp:coreProperties>
</file>

<file path=docProps/custom.xml><?xml version="1.0" encoding="utf-8"?>
<Properties xmlns="http://schemas.openxmlformats.org/officeDocument/2006/custom-properties" xmlns:vt="http://schemas.openxmlformats.org/officeDocument/2006/docPropsVTypes"/>
</file>