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b/>
          <w:bCs/>
        </w:rPr>
      </w:pPr>
      <w:r>
        <w:rPr>
          <w:b/>
          <w:bCs/>
        </w:rPr>
        <w:t>P8: 2000s-present: Plantation → Algorithm</w:t>
      </w:r>
    </w:p>
    <w:p>
      <w:pPr>
        <w:pStyle w:val="Normal"/>
        <w:bidi w:val="0"/>
        <w:rPr>
          <w:b w:val="false"/>
          <w:bCs w:val="false"/>
        </w:rPr>
      </w:pPr>
      <w:r>
        <w:rPr>
          <w:b w:val="false"/>
          <w:bCs w:val="false"/>
        </w:rPr>
      </w:r>
    </w:p>
    <w:p>
      <w:pPr>
        <w:pStyle w:val="Normal"/>
        <w:bidi w:val="0"/>
        <w:rPr>
          <w:b w:val="false"/>
          <w:bCs w:val="false"/>
        </w:rPr>
      </w:pPr>
      <w:r>
        <w:rPr>
          <w:b w:val="false"/>
          <w:bCs w:val="false"/>
        </w:rPr>
        <w:t>COMPAS recidivism scoring, predictive policing, facial recognition.</w:t>
      </w:r>
    </w:p>
    <w:p>
      <w:pPr>
        <w:pStyle w:val="Normal"/>
        <w:bidi w:val="0"/>
        <w:rPr>
          <w:b w:val="false"/>
          <w:bCs w:val="false"/>
        </w:rPr>
      </w:pPr>
      <w:r>
        <w:rPr>
          <w:b w:val="false"/>
          <w:bCs w:val="false"/>
        </w:rPr>
      </w:r>
    </w:p>
    <w:p>
      <w:pPr>
        <w:pStyle w:val="Normal"/>
        <w:bidi w:val="0"/>
        <w:rPr>
          <w:b w:val="false"/>
          <w:bCs w:val="false"/>
        </w:rPr>
      </w:pPr>
      <w:r>
        <w:rPr>
          <w:b w:val="false"/>
          <w:bCs w:val="false"/>
        </w:rPr>
        <w:t>Stat: ProPublica (2016): Black defendants flagged high-risk at ~2× the rate of white defendants; NIST (2019): facial-recognition false positives 10–100× higher for Black/Asian faces.</w:t>
      </w:r>
    </w:p>
    <w:p>
      <w:pPr>
        <w:pStyle w:val="Normal"/>
        <w:bidi w:val="0"/>
        <w:rPr>
          <w:b w:val="false"/>
          <w:bCs w:val="false"/>
        </w:rPr>
      </w:pPr>
      <w:r>
        <w:rPr>
          <w:b w:val="false"/>
          <w:bCs w:val="false"/>
        </w:rPr>
      </w:r>
    </w:p>
    <w:p>
      <w:pPr>
        <w:pStyle w:val="Normal"/>
        <w:bidi w:val="0"/>
        <w:rPr>
          <w:b w:val="false"/>
          <w:bCs w:val="false"/>
        </w:rPr>
      </w:pPr>
      <w:r>
        <w:rPr>
          <w:b w:val="false"/>
          <w:bCs w:val="false"/>
        </w:rPr>
        <w:t xml:space="preserve">Argument: The originally variable judgment of an overseer has become the algorithm’s fixed &amp; baked in bias. </w:t>
      </w:r>
    </w:p>
    <w:p>
      <w:pPr>
        <w:pStyle w:val="Normal"/>
        <w:bidi w:val="0"/>
        <w:rPr>
          <w:b w:val="false"/>
          <w:bCs w:val="false"/>
        </w:rPr>
      </w:pPr>
      <w:r>
        <w:rPr>
          <w:b w:val="false"/>
          <w:bCs w:val="false"/>
        </w:rPr>
      </w:r>
    </w:p>
    <w:p>
      <w:pPr>
        <w:pStyle w:val="Normal"/>
        <w:bidi w:val="0"/>
        <w:rPr>
          <w:b w:val="false"/>
          <w:bCs w:val="false"/>
        </w:rPr>
      </w:pPr>
      <w:r>
        <w:rPr>
          <w:b w:val="false"/>
          <w:bCs w:val="false"/>
        </w:rPr>
        <w:t xml:space="preserve">Speaker notes: With the rapid evolution of Artificial Intelligence &amp; propitery algorithms, the NIST 2019 study while outdated still holds precedent as there is little to no evidence of this issue being targeted in particular and substantially more evidence to support the idea that these systems are lazily maintained and neglectfully auided yet still used in malicious ways that undermine individual privacy and security. </w:t>
      </w:r>
    </w:p>
    <w:p>
      <w:pPr>
        <w:pStyle w:val="Normal"/>
        <w:bidi w:val="0"/>
        <w:rPr>
          <w:b w:val="false"/>
          <w:bCs w:val="false"/>
        </w:rPr>
      </w:pPr>
      <w:r>
        <w:rPr>
          <w:b w:val="false"/>
          <w:bCs w:val="false"/>
        </w:rPr>
      </w:r>
    </w:p>
    <w:p>
      <w:pPr>
        <w:pStyle w:val="Normal"/>
        <w:bidi w:val="0"/>
        <w:rPr>
          <w:b w:val="false"/>
          <w:bCs w:val="false"/>
        </w:rPr>
      </w:pPr>
      <w:r>
        <w:rPr>
          <w:b w:val="false"/>
          <w:bCs w:val="false"/>
        </w:rPr>
        <w:t>Sources: Machine Bias (</w:t>
      </w:r>
      <w:hyperlink r:id="rId2">
        <w:r>
          <w:rPr>
            <w:rStyle w:val="Hyperlink"/>
            <w:b w:val="false"/>
            <w:bCs w:val="false"/>
          </w:rPr>
          <w:t>https://www.propublica.org/article/machine-bias-risk-assessments-in-criminal-sentencing</w:t>
        </w:r>
      </w:hyperlink>
      <w:r>
        <w:rPr>
          <w:b w:val="false"/>
          <w:bCs w:val="false"/>
        </w:rPr>
        <w:t xml:space="preserve"> ), </w:t>
      </w:r>
      <w:r>
        <w:rPr>
          <w:b w:val="false"/>
          <w:bCs w:val="false"/>
        </w:rPr>
        <w:t xml:space="preserve">Flores, Bechtel &amp; Lowenkamp, Federal Probation (2016), </w:t>
      </w:r>
      <w:hyperlink r:id="rId3">
        <w:r>
          <w:rPr>
            <w:rStyle w:val="Hyperlink"/>
            <w:b w:val="false"/>
            <w:bCs w:val="false"/>
          </w:rPr>
          <w:t>https://www.uscourts.gov/sites/default/files/80_2_6_0.pdf</w:t>
        </w:r>
      </w:hyperlink>
      <w:r>
        <w:rPr>
          <w:b w:val="false"/>
          <w:bCs w:val="false"/>
        </w:rPr>
        <w:t xml:space="preserve"> , </w:t>
      </w:r>
      <w:hyperlink r:id="rId4">
        <w:r>
          <w:rPr>
            <w:rStyle w:val="Hyperlink"/>
            <w:b w:val="false"/>
            <w:bCs w:val="false"/>
          </w:rPr>
          <w:t>https://www.nist.gov/news-events/news/2019/12/nist-study-evaluates-effects-race-age-sex-face-recognition-software</w:t>
        </w:r>
      </w:hyperlink>
      <w:r>
        <w:rPr>
          <w:b w:val="false"/>
          <w:bCs w:val="false"/>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Noto Sans Devanagari"/>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ropublica.org/article/machine-bias-risk-assessments-in-criminal-sentencing" TargetMode="External"/><Relationship Id="rId3" Type="http://schemas.openxmlformats.org/officeDocument/2006/relationships/hyperlink" Target="https://www.uscourts.gov/sites/default/files/80_2_6_0.pdf" TargetMode="External"/><Relationship Id="rId4" Type="http://schemas.openxmlformats.org/officeDocument/2006/relationships/hyperlink" Target="https://www.nist.gov/news-events/news/2019/12/nist-study-evaluates-effects-race-age-sex-face-recognition-software"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Pages>
  <Words>127</Words>
  <Characters>988</Characters>
  <CharactersWithSpaces>1110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2026-10-15T19:29:46Z</dcterms:created>
  <dc:creator/>
  <dc:description/>
  <dc:language>en-US</dc:language>
  <cp:lastModifiedBy/>
  <dcterms:modified xsi:type="dcterms:W3CDTF">2026-10-15T19:29:49Z</dcterms:modified>
  <cp:revision>1</cp:revision>
  <dc:subject/>
  <dc:title/>
</cp:coreProperties>
</file>