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7F455" w14:textId="77777777" w:rsidR="002064F8" w:rsidRPr="002064F8" w:rsidRDefault="002064F8" w:rsidP="002064F8">
      <w:pPr>
        <w:spacing w:after="0" w:line="240" w:lineRule="auto"/>
        <w:rPr>
          <w:rFonts w:ascii="Times New Roman" w:eastAsia="Times New Roman" w:hAnsi="Times New Roman" w:cs="Times New Roman"/>
          <w:sz w:val="24"/>
          <w:szCs w:val="24"/>
          <w:lang w:val="en-US" w:eastAsia="en-US"/>
        </w:rPr>
      </w:pPr>
      <w:r w:rsidRPr="002064F8">
        <w:rPr>
          <w:rFonts w:ascii="Alegreya" w:eastAsia="Times New Roman" w:hAnsi="Alegreya" w:cs="Times New Roman"/>
          <w:color w:val="1F1F1F"/>
          <w:spacing w:val="-79"/>
          <w:sz w:val="26"/>
          <w:szCs w:val="26"/>
          <w:lang w:val="en-US" w:eastAsia="en-US"/>
        </w:rPr>
        <w:t> </w:t>
      </w:r>
    </w:p>
    <w:p w14:paraId="5EC522BD" w14:textId="77777777" w:rsidR="002064F8" w:rsidRPr="002064F8" w:rsidRDefault="002064F8" w:rsidP="002064F8">
      <w:pPr>
        <w:spacing w:after="0" w:line="240" w:lineRule="auto"/>
        <w:textAlignment w:val="top"/>
        <w:rPr>
          <w:rFonts w:ascii="Alegreya" w:eastAsia="Times New Roman" w:hAnsi="Alegreya" w:cs="Times New Roman"/>
          <w:color w:val="1F1F1F"/>
          <w:sz w:val="26"/>
          <w:szCs w:val="26"/>
          <w:lang w:val="en-US" w:eastAsia="en-US"/>
        </w:rPr>
      </w:pPr>
      <w:proofErr w:type="spellStart"/>
      <w:r w:rsidRPr="002064F8">
        <w:rPr>
          <w:rFonts w:ascii="Alegreya" w:eastAsia="Times New Roman" w:hAnsi="Alegreya" w:cs="Times New Roman"/>
          <w:b/>
          <w:bCs/>
          <w:i/>
          <w:iCs/>
          <w:color w:val="B9B958"/>
          <w:sz w:val="26"/>
          <w:szCs w:val="26"/>
          <w:lang w:val="en-US" w:eastAsia="en-US"/>
        </w:rPr>
        <w:t>Vous</w:t>
      </w:r>
      <w:proofErr w:type="spellEnd"/>
      <w:r w:rsidRPr="002064F8">
        <w:rPr>
          <w:rFonts w:ascii="Alegreya" w:eastAsia="Times New Roman" w:hAnsi="Alegreya" w:cs="Times New Roman"/>
          <w:b/>
          <w:bCs/>
          <w:i/>
          <w:iCs/>
          <w:color w:val="B9B958"/>
          <w:sz w:val="26"/>
          <w:szCs w:val="26"/>
          <w:lang w:val="en-US" w:eastAsia="en-US"/>
        </w:rPr>
        <w:t xml:space="preserve"> </w:t>
      </w:r>
      <w:proofErr w:type="spellStart"/>
      <w:r w:rsidRPr="002064F8">
        <w:rPr>
          <w:rFonts w:ascii="Alegreya" w:eastAsia="Times New Roman" w:hAnsi="Alegreya" w:cs="Times New Roman"/>
          <w:b/>
          <w:bCs/>
          <w:i/>
          <w:iCs/>
          <w:color w:val="B9B958"/>
          <w:sz w:val="26"/>
          <w:szCs w:val="26"/>
          <w:lang w:val="en-US" w:eastAsia="en-US"/>
        </w:rPr>
        <w:t>consultez</w:t>
      </w:r>
      <w:proofErr w:type="spellEnd"/>
    </w:p>
    <w:p w14:paraId="4BD29FE6" w14:textId="77777777" w:rsidR="002064F8" w:rsidRPr="002064F8" w:rsidRDefault="002064F8" w:rsidP="002064F8">
      <w:pPr>
        <w:spacing w:before="72" w:after="0" w:line="330" w:lineRule="atLeast"/>
        <w:textAlignment w:val="top"/>
        <w:outlineLvl w:val="0"/>
        <w:rPr>
          <w:rFonts w:ascii="Alegreya" w:eastAsia="Times New Roman" w:hAnsi="Alegreya" w:cs="Times New Roman"/>
          <w:b/>
          <w:bCs/>
          <w:color w:val="333333"/>
          <w:kern w:val="36"/>
          <w:sz w:val="32"/>
          <w:szCs w:val="32"/>
          <w:lang w:val="en-US" w:eastAsia="en-US"/>
        </w:rPr>
      </w:pPr>
      <w:r w:rsidRPr="002064F8">
        <w:rPr>
          <w:rFonts w:ascii="Alegreya" w:eastAsia="Times New Roman" w:hAnsi="Alegreya" w:cs="Times New Roman"/>
          <w:b/>
          <w:bCs/>
          <w:color w:val="333333"/>
          <w:kern w:val="36"/>
          <w:sz w:val="32"/>
          <w:szCs w:val="32"/>
          <w:lang w:val="en-US" w:eastAsia="en-US"/>
        </w:rPr>
        <w:t xml:space="preserve">Le triangle </w:t>
      </w:r>
      <w:proofErr w:type="spellStart"/>
      <w:r w:rsidRPr="002064F8">
        <w:rPr>
          <w:rFonts w:ascii="Alegreya" w:eastAsia="Times New Roman" w:hAnsi="Alegreya" w:cs="Times New Roman"/>
          <w:b/>
          <w:bCs/>
          <w:color w:val="333333"/>
          <w:kern w:val="36"/>
          <w:sz w:val="32"/>
          <w:szCs w:val="32"/>
          <w:lang w:val="en-US" w:eastAsia="en-US"/>
        </w:rPr>
        <w:t>pauvreté</w:t>
      </w:r>
      <w:proofErr w:type="spellEnd"/>
      <w:r w:rsidRPr="002064F8">
        <w:rPr>
          <w:rFonts w:ascii="Alegreya" w:eastAsia="Times New Roman" w:hAnsi="Alegreya" w:cs="Times New Roman"/>
          <w:b/>
          <w:bCs/>
          <w:color w:val="333333"/>
          <w:kern w:val="36"/>
          <w:sz w:val="32"/>
          <w:szCs w:val="32"/>
          <w:lang w:val="en-US" w:eastAsia="en-US"/>
        </w:rPr>
        <w:t xml:space="preserve"> - </w:t>
      </w:r>
      <w:proofErr w:type="spellStart"/>
      <w:r w:rsidRPr="002064F8">
        <w:rPr>
          <w:rFonts w:ascii="Alegreya" w:eastAsia="Times New Roman" w:hAnsi="Alegreya" w:cs="Times New Roman"/>
          <w:b/>
          <w:bCs/>
          <w:color w:val="333333"/>
          <w:kern w:val="36"/>
          <w:sz w:val="32"/>
          <w:szCs w:val="32"/>
          <w:lang w:val="en-US" w:eastAsia="en-US"/>
        </w:rPr>
        <w:t>croissance</w:t>
      </w:r>
      <w:proofErr w:type="spellEnd"/>
      <w:r w:rsidRPr="002064F8">
        <w:rPr>
          <w:rFonts w:ascii="Alegreya" w:eastAsia="Times New Roman" w:hAnsi="Alegreya" w:cs="Times New Roman"/>
          <w:b/>
          <w:bCs/>
          <w:color w:val="333333"/>
          <w:kern w:val="36"/>
          <w:sz w:val="32"/>
          <w:szCs w:val="32"/>
          <w:lang w:val="en-US" w:eastAsia="en-US"/>
        </w:rPr>
        <w:t xml:space="preserve"> - </w:t>
      </w:r>
      <w:proofErr w:type="spellStart"/>
      <w:r w:rsidRPr="002064F8">
        <w:rPr>
          <w:rFonts w:ascii="Alegreya" w:eastAsia="Times New Roman" w:hAnsi="Alegreya" w:cs="Times New Roman"/>
          <w:b/>
          <w:bCs/>
          <w:color w:val="333333"/>
          <w:kern w:val="36"/>
          <w:sz w:val="32"/>
          <w:szCs w:val="32"/>
          <w:lang w:val="en-US" w:eastAsia="en-US"/>
        </w:rPr>
        <w:t>inégalités</w:t>
      </w:r>
      <w:proofErr w:type="spellEnd"/>
    </w:p>
    <w:p w14:paraId="6A4D2254" w14:textId="77777777" w:rsidR="002064F8" w:rsidRPr="002064F8" w:rsidRDefault="002064F8" w:rsidP="002064F8">
      <w:pPr>
        <w:spacing w:line="240" w:lineRule="auto"/>
        <w:textAlignment w:val="top"/>
        <w:rPr>
          <w:rFonts w:ascii="Alegreya" w:eastAsia="Times New Roman" w:hAnsi="Alegreya" w:cs="Times New Roman"/>
          <w:color w:val="1F1F1F"/>
          <w:sz w:val="26"/>
          <w:szCs w:val="26"/>
          <w:lang w:val="en-US" w:eastAsia="en-US"/>
        </w:rPr>
      </w:pPr>
      <w:r w:rsidRPr="002064F8">
        <w:rPr>
          <w:rFonts w:ascii="Alegreya" w:eastAsia="Times New Roman" w:hAnsi="Alegreya" w:cs="Times New Roman"/>
          <w:b/>
          <w:bCs/>
          <w:i/>
          <w:iCs/>
          <w:color w:val="B8B858"/>
          <w:sz w:val="26"/>
          <w:szCs w:val="26"/>
          <w:lang w:val="en-US" w:eastAsia="en-US"/>
        </w:rPr>
        <w:t>par</w:t>
      </w:r>
      <w:hyperlink r:id="rId5" w:history="1">
        <w:r w:rsidRPr="002064F8">
          <w:rPr>
            <w:rFonts w:ascii="Alegreya" w:eastAsia="Times New Roman" w:hAnsi="Alegreya" w:cs="Times New Roman"/>
            <w:b/>
            <w:bCs/>
            <w:color w:val="333333"/>
            <w:sz w:val="26"/>
            <w:szCs w:val="26"/>
            <w:bdr w:val="single" w:sz="6" w:space="0" w:color="DDDDDD" w:frame="1"/>
            <w:lang w:val="en-US" w:eastAsia="en-US"/>
          </w:rPr>
          <w:t> François Bourguignon </w:t>
        </w:r>
      </w:hyperlink>
    </w:p>
    <w:p w14:paraId="102DB21C" w14:textId="77777777" w:rsidR="002064F8" w:rsidRDefault="002064F8"/>
    <w:p w14:paraId="5D9E7C00" w14:textId="5D7943DF" w:rsidR="002064F8" w:rsidRDefault="002064F8">
      <w:r>
        <w:t xml:space="preserve">Faut-il plutôt axer les stratégies de développement sur la croissance, sur la pauvreté et/ou sur les inégalités ? Cette question revient toujours dans les débats sur le développement. Il s’agit d’un faux problème dont la résolution tient en deux propositions : 1. L’élimination rapide de la pauvreté absolue, sous toutes ses formes, est un objectif essentiel du développement ; 2. Cette réduction de la pauvreté absolue passe par des stratégies de croissance et des politiques distributives dont la combinaison est propre à chaque pays. </w:t>
      </w:r>
    </w:p>
    <w:p w14:paraId="4FBBC142" w14:textId="2C2AE04F" w:rsidR="002064F8" w:rsidRDefault="002064F8">
      <w:pPr>
        <w:rPr>
          <w:rFonts w:ascii="Alegreya" w:hAnsi="Alegreya"/>
          <w:color w:val="1F1F1F"/>
          <w:sz w:val="26"/>
          <w:szCs w:val="26"/>
        </w:rPr>
      </w:pPr>
      <w:r>
        <w:rPr>
          <w:rFonts w:ascii="Alegreya" w:hAnsi="Alegreya"/>
          <w:color w:val="1F1F1F"/>
          <w:sz w:val="26"/>
          <w:szCs w:val="26"/>
        </w:rPr>
        <w:t>Le niveau absolu de revenu et, partant, une grande partie du processus de développement, ne présentent plus d’intérêt ; seuls comptent les revenus relatifs ou les caractéristiques distributives pures. Le fait de fixer le seuil de pauvreté par rapport à un revenu moyen peut faire apparaître une pauvreté croissante, même si le niveau de vie des pauvres a en fait augmenté. Si les économistes conviennent de plus en plus de l’importance de la privation relative, ils ne sont pas d’accord sur le fait que le bien-être de chacun dépende uniquement de sa position relative et non d’un niveau de vie absolu déterminé par le revenu </w:t>
      </w:r>
      <w:hyperlink r:id="rId6" w:anchor="no2" w:history="1">
        <w:r>
          <w:rPr>
            <w:rStyle w:val="Lienhypertexte"/>
            <w:rFonts w:ascii="Alegreya" w:hAnsi="Alegreya"/>
            <w:b/>
            <w:bCs/>
            <w:color w:val="4BB2AC"/>
            <w:sz w:val="17"/>
            <w:szCs w:val="17"/>
          </w:rPr>
          <w:t>[1]</w:t>
        </w:r>
      </w:hyperlink>
      <w:hyperlink r:id="rId7" w:anchor="no2" w:history="1">
        <w:r>
          <w:rPr>
            <w:rStyle w:val="renvoifakeno"/>
            <w:b/>
            <w:bCs/>
            <w:color w:val="4BB2AC"/>
          </w:rPr>
          <w:t>[1]</w:t>
        </w:r>
        <w:r>
          <w:rPr>
            <w:rStyle w:val="Lienhypertexte"/>
            <w:color w:val="000000"/>
          </w:rPr>
          <w:t> On peut aussi de définir la pauvreté en combinant les...</w:t>
        </w:r>
      </w:hyperlink>
      <w:r>
        <w:rPr>
          <w:rFonts w:ascii="Alegreya" w:hAnsi="Alegreya"/>
          <w:color w:val="1F1F1F"/>
          <w:sz w:val="26"/>
          <w:szCs w:val="26"/>
        </w:rPr>
        <w:t>.</w:t>
      </w:r>
    </w:p>
    <w:p w14:paraId="72FA78E1" w14:textId="582A8E6D" w:rsidR="006F4C48" w:rsidRPr="006F4C48" w:rsidRDefault="002064F8" w:rsidP="006F4C48">
      <w:pPr>
        <w:pStyle w:val="alinea"/>
        <w:spacing w:before="0" w:beforeAutospacing="0" w:after="0" w:afterAutospacing="0" w:line="405" w:lineRule="atLeast"/>
        <w:rPr>
          <w:rFonts w:ascii="Alegreya" w:hAnsi="Alegreya"/>
          <w:color w:val="C45911" w:themeColor="accent2" w:themeShade="BF"/>
          <w:sz w:val="26"/>
          <w:szCs w:val="26"/>
        </w:rPr>
      </w:pPr>
      <w:r w:rsidRPr="002064F8">
        <w:rPr>
          <w:rFonts w:ascii="Alegreya" w:hAnsi="Alegreya"/>
          <w:color w:val="C45911" w:themeColor="accent2" w:themeShade="BF"/>
          <w:sz w:val="26"/>
          <w:szCs w:val="26"/>
        </w:rPr>
        <w:t xml:space="preserve">Les économistes conviennent de fait en </w:t>
      </w:r>
      <w:proofErr w:type="spellStart"/>
      <w:r w:rsidRPr="002064F8">
        <w:rPr>
          <w:rFonts w:ascii="Alegreya" w:hAnsi="Alegreya"/>
          <w:color w:val="C45911" w:themeColor="accent2" w:themeShade="BF"/>
          <w:sz w:val="26"/>
          <w:szCs w:val="26"/>
        </w:rPr>
        <w:t>général</w:t>
      </w:r>
      <w:proofErr w:type="spellEnd"/>
      <w:r w:rsidRPr="002064F8">
        <w:rPr>
          <w:rFonts w:ascii="Alegreya" w:hAnsi="Alegreya"/>
          <w:color w:val="C45911" w:themeColor="accent2" w:themeShade="BF"/>
          <w:sz w:val="26"/>
          <w:szCs w:val="26"/>
        </w:rPr>
        <w:t xml:space="preserve"> que la </w:t>
      </w:r>
      <w:proofErr w:type="spellStart"/>
      <w:r w:rsidRPr="002064F8">
        <w:rPr>
          <w:rFonts w:ascii="Alegreya" w:hAnsi="Alegreya"/>
          <w:color w:val="C45911" w:themeColor="accent2" w:themeShade="BF"/>
          <w:sz w:val="26"/>
          <w:szCs w:val="26"/>
        </w:rPr>
        <w:t>croissance</w:t>
      </w:r>
      <w:proofErr w:type="spellEnd"/>
      <w:r w:rsidRPr="002064F8">
        <w:rPr>
          <w:rFonts w:ascii="Alegreya" w:hAnsi="Alegreya"/>
          <w:color w:val="C45911" w:themeColor="accent2" w:themeShade="BF"/>
          <w:sz w:val="26"/>
          <w:szCs w:val="26"/>
        </w:rPr>
        <w:t xml:space="preserve"> </w:t>
      </w:r>
      <w:proofErr w:type="spellStart"/>
      <w:r w:rsidRPr="002064F8">
        <w:rPr>
          <w:rFonts w:ascii="Alegreya" w:hAnsi="Alegreya"/>
          <w:color w:val="C45911" w:themeColor="accent2" w:themeShade="BF"/>
          <w:sz w:val="26"/>
          <w:szCs w:val="26"/>
        </w:rPr>
        <w:t>est</w:t>
      </w:r>
      <w:proofErr w:type="spellEnd"/>
      <w:r w:rsidRPr="002064F8">
        <w:rPr>
          <w:rFonts w:ascii="Alegreya" w:hAnsi="Alegreya"/>
          <w:color w:val="C45911" w:themeColor="accent2" w:themeShade="BF"/>
          <w:sz w:val="26"/>
          <w:szCs w:val="26"/>
        </w:rPr>
        <w:t xml:space="preserve"> </w:t>
      </w:r>
      <w:proofErr w:type="spellStart"/>
      <w:r w:rsidRPr="002064F8">
        <w:rPr>
          <w:rFonts w:ascii="Alegreya" w:hAnsi="Alegreya"/>
          <w:color w:val="C45911" w:themeColor="accent2" w:themeShade="BF"/>
          <w:sz w:val="26"/>
          <w:szCs w:val="26"/>
        </w:rPr>
        <w:t>essentielle</w:t>
      </w:r>
      <w:proofErr w:type="spellEnd"/>
      <w:r w:rsidRPr="002064F8">
        <w:rPr>
          <w:rFonts w:ascii="Alegreya" w:hAnsi="Alegreya"/>
          <w:color w:val="C45911" w:themeColor="accent2" w:themeShade="BF"/>
          <w:sz w:val="26"/>
          <w:szCs w:val="26"/>
        </w:rPr>
        <w:t xml:space="preserve"> pour </w:t>
      </w:r>
      <w:proofErr w:type="spellStart"/>
      <w:r w:rsidRPr="002064F8">
        <w:rPr>
          <w:rFonts w:ascii="Alegreya" w:hAnsi="Alegreya"/>
          <w:color w:val="C45911" w:themeColor="accent2" w:themeShade="BF"/>
          <w:sz w:val="26"/>
          <w:szCs w:val="26"/>
        </w:rPr>
        <w:t>réduire</w:t>
      </w:r>
      <w:proofErr w:type="spellEnd"/>
      <w:r w:rsidRPr="002064F8">
        <w:rPr>
          <w:rFonts w:ascii="Alegreya" w:hAnsi="Alegreya"/>
          <w:color w:val="C45911" w:themeColor="accent2" w:themeShade="BF"/>
          <w:sz w:val="26"/>
          <w:szCs w:val="26"/>
        </w:rPr>
        <w:t xml:space="preserve"> la </w:t>
      </w:r>
      <w:proofErr w:type="spellStart"/>
      <w:r w:rsidRPr="002064F8">
        <w:rPr>
          <w:rFonts w:ascii="Alegreya" w:hAnsi="Alegreya"/>
          <w:color w:val="C45911" w:themeColor="accent2" w:themeShade="BF"/>
          <w:sz w:val="26"/>
          <w:szCs w:val="26"/>
        </w:rPr>
        <w:t>pauvreté</w:t>
      </w:r>
      <w:proofErr w:type="spellEnd"/>
      <w:r w:rsidRPr="002064F8">
        <w:rPr>
          <w:rFonts w:ascii="Alegreya" w:hAnsi="Alegreya"/>
          <w:color w:val="C45911" w:themeColor="accent2" w:themeShade="BF"/>
          <w:sz w:val="26"/>
          <w:szCs w:val="26"/>
        </w:rPr>
        <w:t xml:space="preserve"> (-</w:t>
      </w:r>
      <w:proofErr w:type="spellStart"/>
      <w:r w:rsidRPr="002064F8">
        <w:rPr>
          <w:rFonts w:ascii="Alegreya" w:hAnsi="Alegreya"/>
          <w:color w:val="C45911" w:themeColor="accent2" w:themeShade="BF"/>
          <w:sz w:val="26"/>
          <w:szCs w:val="26"/>
        </w:rPr>
        <w:t>revenu</w:t>
      </w:r>
      <w:proofErr w:type="spellEnd"/>
      <w:r w:rsidRPr="002064F8">
        <w:rPr>
          <w:rFonts w:ascii="Alegreya" w:hAnsi="Alegreya"/>
          <w:color w:val="C45911" w:themeColor="accent2" w:themeShade="BF"/>
          <w:sz w:val="26"/>
          <w:szCs w:val="26"/>
        </w:rPr>
        <w:t>), à condition que la répartition du revenu reste plus ou moins constante</w:t>
      </w:r>
      <w:r w:rsidRPr="006F4C48">
        <w:rPr>
          <w:rFonts w:ascii="Alegreya" w:hAnsi="Alegreya"/>
          <w:color w:val="C45911" w:themeColor="accent2" w:themeShade="BF"/>
          <w:sz w:val="26"/>
          <w:szCs w:val="26"/>
        </w:rPr>
        <w:t>.</w:t>
      </w:r>
      <w:r w:rsidR="006F4C48" w:rsidRPr="006F4C48">
        <w:rPr>
          <w:rFonts w:ascii="Alegreya" w:hAnsi="Alegreya"/>
          <w:color w:val="C45911" w:themeColor="accent2" w:themeShade="BF"/>
          <w:sz w:val="26"/>
          <w:szCs w:val="26"/>
        </w:rPr>
        <w:t xml:space="preserve"> De même, les données montrent qu’une détérioration de la distribution tend à augmenter la pauvreté. Cependant, le vrai problème de l’élaboration d’une stratégie de développement est de savoir si la croissance et la distribution sont indépendantes ou si, au contraire, elles sont étroitement liées. Une croissance accélérée va-t-elle ainsi réduire les inégalités ou bien les renforcer ? Des inégalités trop importantes </w:t>
      </w:r>
      <w:proofErr w:type="spellStart"/>
      <w:r w:rsidR="006F4C48" w:rsidRPr="006F4C48">
        <w:rPr>
          <w:rFonts w:ascii="Alegreya" w:hAnsi="Alegreya"/>
          <w:color w:val="C45911" w:themeColor="accent2" w:themeShade="BF"/>
          <w:sz w:val="26"/>
          <w:szCs w:val="26"/>
        </w:rPr>
        <w:t>dans</w:t>
      </w:r>
      <w:proofErr w:type="spellEnd"/>
      <w:r w:rsidR="006F4C48" w:rsidRPr="006F4C48">
        <w:rPr>
          <w:rFonts w:ascii="Alegreya" w:hAnsi="Alegreya"/>
          <w:color w:val="C45911" w:themeColor="accent2" w:themeShade="BF"/>
          <w:sz w:val="26"/>
          <w:szCs w:val="26"/>
        </w:rPr>
        <w:t xml:space="preserve"> un pays </w:t>
      </w:r>
      <w:proofErr w:type="spellStart"/>
      <w:r w:rsidR="006F4C48" w:rsidRPr="006F4C48">
        <w:rPr>
          <w:rFonts w:ascii="Alegreya" w:hAnsi="Alegreya"/>
          <w:color w:val="C45911" w:themeColor="accent2" w:themeShade="BF"/>
          <w:sz w:val="26"/>
          <w:szCs w:val="26"/>
        </w:rPr>
        <w:t>vont-elles</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ralentir</w:t>
      </w:r>
      <w:proofErr w:type="spellEnd"/>
      <w:r w:rsidR="006F4C48" w:rsidRPr="006F4C48">
        <w:rPr>
          <w:rFonts w:ascii="Alegreya" w:hAnsi="Alegreya"/>
          <w:color w:val="C45911" w:themeColor="accent2" w:themeShade="BF"/>
          <w:sz w:val="26"/>
          <w:szCs w:val="26"/>
        </w:rPr>
        <w:t xml:space="preserve"> la </w:t>
      </w:r>
      <w:proofErr w:type="spellStart"/>
      <w:r w:rsidR="006F4C48" w:rsidRPr="006F4C48">
        <w:rPr>
          <w:rFonts w:ascii="Alegreya" w:hAnsi="Alegreya"/>
          <w:color w:val="C45911" w:themeColor="accent2" w:themeShade="BF"/>
          <w:sz w:val="26"/>
          <w:szCs w:val="26"/>
        </w:rPr>
        <w:t>croissance</w:t>
      </w:r>
      <w:proofErr w:type="spellEnd"/>
      <w:r w:rsidR="006F4C48" w:rsidRPr="006F4C48">
        <w:rPr>
          <w:rFonts w:ascii="Alegreya" w:hAnsi="Alegreya"/>
          <w:color w:val="C45911" w:themeColor="accent2" w:themeShade="BF"/>
          <w:sz w:val="26"/>
          <w:szCs w:val="26"/>
        </w:rPr>
        <w:t xml:space="preserve"> ou bien l’accélérer ? </w:t>
      </w:r>
      <w:r w:rsidR="006F4C48">
        <w:rPr>
          <w:rFonts w:ascii="Alegreya" w:hAnsi="Alegreya"/>
          <w:color w:val="C45911" w:themeColor="accent2" w:themeShade="BF"/>
          <w:sz w:val="26"/>
          <w:szCs w:val="26"/>
        </w:rPr>
        <w:t xml:space="preserve">               </w:t>
      </w:r>
      <w:r w:rsidR="006F4C48">
        <w:rPr>
          <w:rFonts w:ascii="Alegreya" w:hAnsi="Alegreya"/>
          <w:color w:val="000000" w:themeColor="text1"/>
          <w:sz w:val="26"/>
          <w:szCs w:val="26"/>
        </w:rPr>
        <w:t xml:space="preserve">I. </w:t>
      </w:r>
      <w:proofErr w:type="spellStart"/>
      <w:r w:rsidR="006F4C48" w:rsidRPr="006F4C48">
        <w:rPr>
          <w:rFonts w:ascii="Alegreya" w:hAnsi="Alegreya"/>
          <w:color w:val="C45911" w:themeColor="accent2" w:themeShade="BF"/>
          <w:sz w:val="26"/>
          <w:szCs w:val="26"/>
        </w:rPr>
        <w:t>Plusieurs</w:t>
      </w:r>
      <w:proofErr w:type="spellEnd"/>
      <w:r w:rsidR="006F4C48" w:rsidRPr="006F4C48">
        <w:rPr>
          <w:rFonts w:ascii="Alegreya" w:hAnsi="Alegreya"/>
          <w:color w:val="C45911" w:themeColor="accent2" w:themeShade="BF"/>
          <w:sz w:val="26"/>
          <w:szCs w:val="26"/>
        </w:rPr>
        <w:t xml:space="preserve"> études micro-</w:t>
      </w:r>
      <w:proofErr w:type="spellStart"/>
      <w:r w:rsidR="006F4C48" w:rsidRPr="006F4C48">
        <w:rPr>
          <w:rFonts w:ascii="Alegreya" w:hAnsi="Alegreya"/>
          <w:color w:val="C45911" w:themeColor="accent2" w:themeShade="BF"/>
          <w:sz w:val="26"/>
          <w:szCs w:val="26"/>
        </w:rPr>
        <w:t>économiques</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récentes</w:t>
      </w:r>
      <w:proofErr w:type="spellEnd"/>
      <w:r w:rsidR="006F4C48" w:rsidRPr="006F4C48">
        <w:rPr>
          <w:rFonts w:ascii="Alegreya" w:hAnsi="Alegreya"/>
          <w:color w:val="C45911" w:themeColor="accent2" w:themeShade="BF"/>
          <w:sz w:val="26"/>
          <w:szCs w:val="26"/>
        </w:rPr>
        <w:t xml:space="preserve"> concernant les effets de la croissance sur la répartition du revenu indiquent clairement que la relation est à la fois robuste et complexe.</w:t>
      </w:r>
      <w:r w:rsidR="006F4C48">
        <w:rPr>
          <w:rFonts w:ascii="Alegreya" w:hAnsi="Alegreya"/>
          <w:color w:val="C45911" w:themeColor="accent2" w:themeShade="BF"/>
          <w:sz w:val="26"/>
          <w:szCs w:val="26"/>
        </w:rPr>
        <w:t xml:space="preserve"> </w:t>
      </w:r>
      <w:r w:rsidR="006F4C48" w:rsidRPr="006F4C48">
        <w:rPr>
          <w:rFonts w:ascii="Alegreya" w:hAnsi="Alegreya"/>
          <w:color w:val="C45911" w:themeColor="accent2" w:themeShade="BF"/>
          <w:sz w:val="26"/>
          <w:szCs w:val="26"/>
        </w:rPr>
        <w:t xml:space="preserve">Une variation de la distribution des </w:t>
      </w:r>
      <w:proofErr w:type="spellStart"/>
      <w:r w:rsidR="006F4C48" w:rsidRPr="006F4C48">
        <w:rPr>
          <w:rFonts w:ascii="Alegreya" w:hAnsi="Alegreya"/>
          <w:color w:val="C45911" w:themeColor="accent2" w:themeShade="BF"/>
          <w:sz w:val="26"/>
          <w:szCs w:val="26"/>
        </w:rPr>
        <w:t>revenus</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peut</w:t>
      </w:r>
      <w:proofErr w:type="spellEnd"/>
      <w:r w:rsidR="006F4C48" w:rsidRPr="006F4C48">
        <w:rPr>
          <w:rFonts w:ascii="Alegreya" w:hAnsi="Alegreya"/>
          <w:color w:val="C45911" w:themeColor="accent2" w:themeShade="BF"/>
          <w:sz w:val="26"/>
          <w:szCs w:val="26"/>
        </w:rPr>
        <w:t xml:space="preserve"> se </w:t>
      </w:r>
      <w:proofErr w:type="spellStart"/>
      <w:r w:rsidR="006F4C48" w:rsidRPr="006F4C48">
        <w:rPr>
          <w:rFonts w:ascii="Alegreya" w:hAnsi="Alegreya"/>
          <w:color w:val="C45911" w:themeColor="accent2" w:themeShade="BF"/>
          <w:sz w:val="26"/>
          <w:szCs w:val="26"/>
        </w:rPr>
        <w:t>décomposer</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en</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deux</w:t>
      </w:r>
      <w:proofErr w:type="spellEnd"/>
      <w:r w:rsidR="006F4C48" w:rsidRPr="006F4C48">
        <w:rPr>
          <w:rFonts w:ascii="Alegreya" w:hAnsi="Alegreya"/>
          <w:color w:val="C45911" w:themeColor="accent2" w:themeShade="BF"/>
          <w:sz w:val="26"/>
          <w:szCs w:val="26"/>
        </w:rPr>
        <w:t xml:space="preserve"> types </w:t>
      </w:r>
      <w:proofErr w:type="spellStart"/>
      <w:r w:rsidR="006F4C48" w:rsidRPr="006F4C48">
        <w:rPr>
          <w:rFonts w:ascii="Alegreya" w:hAnsi="Alegreya"/>
          <w:color w:val="C45911" w:themeColor="accent2" w:themeShade="BF"/>
          <w:sz w:val="26"/>
          <w:szCs w:val="26"/>
        </w:rPr>
        <w:t>d’effet</w:t>
      </w:r>
      <w:proofErr w:type="spellEnd"/>
      <w:r w:rsidR="006F4C48" w:rsidRPr="006F4C48">
        <w:rPr>
          <w:rFonts w:ascii="Alegreya" w:hAnsi="Alegreya"/>
          <w:color w:val="C45911" w:themeColor="accent2" w:themeShade="BF"/>
          <w:sz w:val="26"/>
          <w:szCs w:val="26"/>
        </w:rPr>
        <w:t xml:space="preserve"> : </w:t>
      </w:r>
      <w:proofErr w:type="spellStart"/>
      <w:r w:rsidR="006F4C48" w:rsidRPr="006F4C48">
        <w:rPr>
          <w:rFonts w:ascii="Alegreya" w:hAnsi="Alegreya"/>
          <w:color w:val="C45911" w:themeColor="accent2" w:themeShade="BF"/>
          <w:sz w:val="26"/>
          <w:szCs w:val="26"/>
        </w:rPr>
        <w:t>une</w:t>
      </w:r>
      <w:proofErr w:type="spellEnd"/>
      <w:r w:rsidR="006F4C48" w:rsidRPr="006F4C48">
        <w:rPr>
          <w:rFonts w:ascii="Alegreya" w:hAnsi="Alegreya"/>
          <w:color w:val="C45911" w:themeColor="accent2" w:themeShade="BF"/>
          <w:sz w:val="26"/>
          <w:szCs w:val="26"/>
        </w:rPr>
        <w:t xml:space="preserve"> variation </w:t>
      </w:r>
      <w:proofErr w:type="spellStart"/>
      <w:r w:rsidR="006F4C48" w:rsidRPr="006F4C48">
        <w:rPr>
          <w:rFonts w:ascii="Alegreya" w:hAnsi="Alegreya"/>
          <w:color w:val="C45911" w:themeColor="accent2" w:themeShade="BF"/>
          <w:sz w:val="26"/>
          <w:szCs w:val="26"/>
        </w:rPr>
        <w:t>proportionnelle</w:t>
      </w:r>
      <w:proofErr w:type="spellEnd"/>
      <w:r w:rsidR="006F4C48" w:rsidRPr="006F4C48">
        <w:rPr>
          <w:rFonts w:ascii="Alegreya" w:hAnsi="Alegreya"/>
          <w:color w:val="C45911" w:themeColor="accent2" w:themeShade="BF"/>
          <w:sz w:val="26"/>
          <w:szCs w:val="26"/>
        </w:rPr>
        <w:t xml:space="preserve"> de </w:t>
      </w:r>
      <w:proofErr w:type="spellStart"/>
      <w:r w:rsidR="006F4C48" w:rsidRPr="006F4C48">
        <w:rPr>
          <w:rFonts w:ascii="Alegreya" w:hAnsi="Alegreya"/>
          <w:color w:val="C45911" w:themeColor="accent2" w:themeShade="BF"/>
          <w:sz w:val="26"/>
          <w:szCs w:val="26"/>
        </w:rPr>
        <w:t>tous</w:t>
      </w:r>
      <w:proofErr w:type="spellEnd"/>
      <w:r w:rsidR="006F4C48" w:rsidRPr="006F4C48">
        <w:rPr>
          <w:rFonts w:ascii="Alegreya" w:hAnsi="Alegreya"/>
          <w:color w:val="C45911" w:themeColor="accent2" w:themeShade="BF"/>
          <w:sz w:val="26"/>
          <w:szCs w:val="26"/>
        </w:rPr>
        <w:t xml:space="preserve"> les </w:t>
      </w:r>
      <w:proofErr w:type="spellStart"/>
      <w:r w:rsidR="006F4C48" w:rsidRPr="006F4C48">
        <w:rPr>
          <w:rFonts w:ascii="Alegreya" w:hAnsi="Alegreya"/>
          <w:color w:val="C45911" w:themeColor="accent2" w:themeShade="BF"/>
          <w:sz w:val="26"/>
          <w:szCs w:val="26"/>
        </w:rPr>
        <w:t>revenus</w:t>
      </w:r>
      <w:proofErr w:type="spellEnd"/>
      <w:r w:rsidR="006F4C48" w:rsidRPr="006F4C48">
        <w:rPr>
          <w:rFonts w:ascii="Alegreya" w:hAnsi="Alegreya"/>
          <w:color w:val="C45911" w:themeColor="accent2" w:themeShade="BF"/>
          <w:sz w:val="26"/>
          <w:szCs w:val="26"/>
        </w:rPr>
        <w:t xml:space="preserve">, qui ne </w:t>
      </w:r>
      <w:proofErr w:type="spellStart"/>
      <w:r w:rsidR="006F4C48" w:rsidRPr="006F4C48">
        <w:rPr>
          <w:rFonts w:ascii="Alegreya" w:hAnsi="Alegreya"/>
          <w:color w:val="C45911" w:themeColor="accent2" w:themeShade="BF"/>
          <w:sz w:val="26"/>
          <w:szCs w:val="26"/>
        </w:rPr>
        <w:t>modifie</w:t>
      </w:r>
      <w:proofErr w:type="spellEnd"/>
      <w:r w:rsidR="006F4C48" w:rsidRPr="006F4C48">
        <w:rPr>
          <w:rFonts w:ascii="Alegreya" w:hAnsi="Alegreya"/>
          <w:color w:val="C45911" w:themeColor="accent2" w:themeShade="BF"/>
          <w:sz w:val="26"/>
          <w:szCs w:val="26"/>
        </w:rPr>
        <w:t xml:space="preserve"> pas la distribution du </w:t>
      </w:r>
      <w:proofErr w:type="spellStart"/>
      <w:r w:rsidR="006F4C48" w:rsidRPr="006F4C48">
        <w:rPr>
          <w:rFonts w:ascii="Alegreya" w:hAnsi="Alegreya"/>
          <w:color w:val="C45911" w:themeColor="accent2" w:themeShade="BF"/>
          <w:sz w:val="26"/>
          <w:szCs w:val="26"/>
        </w:rPr>
        <w:t>revenu</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relatif</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effet</w:t>
      </w:r>
      <w:proofErr w:type="spellEnd"/>
      <w:r w:rsidR="006F4C48" w:rsidRPr="006F4C48">
        <w:rPr>
          <w:rFonts w:ascii="Alegreya" w:hAnsi="Alegreya"/>
          <w:color w:val="C45911" w:themeColor="accent2" w:themeShade="BF"/>
          <w:sz w:val="26"/>
          <w:szCs w:val="26"/>
        </w:rPr>
        <w:t xml:space="preserve"> de </w:t>
      </w:r>
      <w:proofErr w:type="spellStart"/>
      <w:r w:rsidR="006F4C48" w:rsidRPr="006F4C48">
        <w:rPr>
          <w:rFonts w:ascii="Alegreya" w:hAnsi="Alegreya"/>
          <w:color w:val="C45911" w:themeColor="accent2" w:themeShade="BF"/>
          <w:sz w:val="26"/>
          <w:szCs w:val="26"/>
        </w:rPr>
        <w:t>croissance</w:t>
      </w:r>
      <w:proofErr w:type="spellEnd"/>
      <w:r w:rsidR="006F4C48" w:rsidRPr="006F4C48">
        <w:rPr>
          <w:rFonts w:ascii="Alegreya" w:hAnsi="Alegreya"/>
          <w:color w:val="C45911" w:themeColor="accent2" w:themeShade="BF"/>
          <w:sz w:val="26"/>
          <w:szCs w:val="26"/>
        </w:rPr>
        <w:t xml:space="preserve">) ; </w:t>
      </w:r>
      <w:proofErr w:type="spellStart"/>
      <w:r w:rsidR="006F4C48" w:rsidRPr="006F4C48">
        <w:rPr>
          <w:rFonts w:ascii="Alegreya" w:hAnsi="Alegreya"/>
          <w:color w:val="C45911" w:themeColor="accent2" w:themeShade="BF"/>
          <w:sz w:val="26"/>
          <w:szCs w:val="26"/>
        </w:rPr>
        <w:t>une</w:t>
      </w:r>
      <w:proofErr w:type="spellEnd"/>
      <w:r w:rsidR="006F4C48" w:rsidRPr="006F4C48">
        <w:rPr>
          <w:rFonts w:ascii="Alegreya" w:hAnsi="Alegreya"/>
          <w:color w:val="C45911" w:themeColor="accent2" w:themeShade="BF"/>
          <w:sz w:val="26"/>
          <w:szCs w:val="26"/>
        </w:rPr>
        <w:t xml:space="preserve"> variation de la distribution des </w:t>
      </w:r>
      <w:proofErr w:type="spellStart"/>
      <w:r w:rsidR="006F4C48" w:rsidRPr="006F4C48">
        <w:rPr>
          <w:rFonts w:ascii="Alegreya" w:hAnsi="Alegreya"/>
          <w:color w:val="C45911" w:themeColor="accent2" w:themeShade="BF"/>
          <w:sz w:val="26"/>
          <w:szCs w:val="26"/>
        </w:rPr>
        <w:t>revenus</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relatifs</w:t>
      </w:r>
      <w:proofErr w:type="spellEnd"/>
      <w:r w:rsidR="006F4C48" w:rsidRPr="006F4C48">
        <w:rPr>
          <w:rFonts w:ascii="Alegreya" w:hAnsi="Alegreya"/>
          <w:color w:val="C45911" w:themeColor="accent2" w:themeShade="BF"/>
          <w:sz w:val="26"/>
          <w:szCs w:val="26"/>
        </w:rPr>
        <w:t xml:space="preserve"> qui, par </w:t>
      </w:r>
      <w:proofErr w:type="spellStart"/>
      <w:r w:rsidR="006F4C48" w:rsidRPr="006F4C48">
        <w:rPr>
          <w:rFonts w:ascii="Alegreya" w:hAnsi="Alegreya"/>
          <w:color w:val="C45911" w:themeColor="accent2" w:themeShade="BF"/>
          <w:sz w:val="26"/>
          <w:szCs w:val="26"/>
        </w:rPr>
        <w:t>définition</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est</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indépendante</w:t>
      </w:r>
      <w:proofErr w:type="spellEnd"/>
      <w:r w:rsidR="006F4C48" w:rsidRPr="006F4C48">
        <w:rPr>
          <w:rFonts w:ascii="Alegreya" w:hAnsi="Alegreya"/>
          <w:color w:val="C45911" w:themeColor="accent2" w:themeShade="BF"/>
          <w:sz w:val="26"/>
          <w:szCs w:val="26"/>
        </w:rPr>
        <w:t xml:space="preserve"> du </w:t>
      </w:r>
      <w:proofErr w:type="spellStart"/>
      <w:r w:rsidR="006F4C48" w:rsidRPr="006F4C48">
        <w:rPr>
          <w:rFonts w:ascii="Alegreya" w:hAnsi="Alegreya"/>
          <w:color w:val="C45911" w:themeColor="accent2" w:themeShade="BF"/>
          <w:sz w:val="26"/>
          <w:szCs w:val="26"/>
        </w:rPr>
        <w:t>revenu</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moyen</w:t>
      </w:r>
      <w:proofErr w:type="spellEnd"/>
      <w:r w:rsidR="006F4C48" w:rsidRPr="006F4C48">
        <w:rPr>
          <w:rFonts w:ascii="Alegreya" w:hAnsi="Alegreya"/>
          <w:color w:val="C45911" w:themeColor="accent2" w:themeShade="BF"/>
          <w:sz w:val="26"/>
          <w:szCs w:val="26"/>
        </w:rPr>
        <w:t xml:space="preserve"> (</w:t>
      </w:r>
      <w:proofErr w:type="spellStart"/>
      <w:r w:rsidR="006F4C48" w:rsidRPr="006F4C48">
        <w:rPr>
          <w:rFonts w:ascii="Alegreya" w:hAnsi="Alegreya"/>
          <w:color w:val="C45911" w:themeColor="accent2" w:themeShade="BF"/>
          <w:sz w:val="26"/>
          <w:szCs w:val="26"/>
        </w:rPr>
        <w:t>effet</w:t>
      </w:r>
      <w:proofErr w:type="spellEnd"/>
      <w:r w:rsidR="006F4C48" w:rsidRPr="006F4C48">
        <w:rPr>
          <w:rFonts w:ascii="Alegreya" w:hAnsi="Alegreya"/>
          <w:color w:val="C45911" w:themeColor="accent2" w:themeShade="BF"/>
          <w:sz w:val="26"/>
          <w:szCs w:val="26"/>
        </w:rPr>
        <w:t> </w:t>
      </w:r>
      <w:proofErr w:type="spellStart"/>
      <w:r w:rsidR="006F4C48" w:rsidRPr="006F4C48">
        <w:rPr>
          <w:rFonts w:ascii="Alegreya" w:hAnsi="Alegreya"/>
          <w:i/>
          <w:iCs/>
          <w:color w:val="C45911" w:themeColor="accent2" w:themeShade="BF"/>
          <w:sz w:val="26"/>
          <w:szCs w:val="26"/>
        </w:rPr>
        <w:t>distributif</w:t>
      </w:r>
      <w:proofErr w:type="spellEnd"/>
      <w:r w:rsidR="006F4C48" w:rsidRPr="006F4C48">
        <w:rPr>
          <w:rFonts w:ascii="Alegreya" w:hAnsi="Alegreya"/>
          <w:color w:val="C45911" w:themeColor="accent2" w:themeShade="BF"/>
          <w:sz w:val="26"/>
          <w:szCs w:val="26"/>
        </w:rPr>
        <w:t>) </w:t>
      </w:r>
      <w:hyperlink r:id="rId8" w:anchor="no3" w:history="1">
        <w:r w:rsidR="006F4C48" w:rsidRPr="006F4C48">
          <w:rPr>
            <w:rFonts w:ascii="Alegreya" w:hAnsi="Alegreya"/>
            <w:b/>
            <w:bCs/>
            <w:color w:val="C45911" w:themeColor="accent2" w:themeShade="BF"/>
            <w:sz w:val="18"/>
            <w:szCs w:val="18"/>
            <w:u w:val="single"/>
          </w:rPr>
          <w:t>[2]</w:t>
        </w:r>
      </w:hyperlink>
      <w:hyperlink r:id="rId9" w:anchor="no3" w:history="1">
        <w:r w:rsidR="006F4C48" w:rsidRPr="006F4C48">
          <w:rPr>
            <w:rFonts w:ascii="Alegreya" w:hAnsi="Alegreya"/>
            <w:b/>
            <w:bCs/>
            <w:color w:val="C45911" w:themeColor="accent2" w:themeShade="BF"/>
            <w:sz w:val="26"/>
            <w:szCs w:val="26"/>
          </w:rPr>
          <w:t>[2]</w:t>
        </w:r>
        <w:r w:rsidR="006F4C48" w:rsidRPr="006F4C48">
          <w:rPr>
            <w:rFonts w:ascii="Alegreya" w:hAnsi="Alegreya"/>
            <w:color w:val="C45911" w:themeColor="accent2" w:themeShade="BF"/>
            <w:sz w:val="26"/>
            <w:szCs w:val="26"/>
            <w:u w:val="single"/>
          </w:rPr>
          <w:t> </w:t>
        </w:r>
        <w:proofErr w:type="spellStart"/>
        <w:r w:rsidR="006F4C48" w:rsidRPr="006F4C48">
          <w:rPr>
            <w:rFonts w:ascii="Alegreya" w:hAnsi="Alegreya"/>
            <w:color w:val="C45911" w:themeColor="accent2" w:themeShade="BF"/>
            <w:sz w:val="26"/>
            <w:szCs w:val="26"/>
            <w:u w:val="single"/>
          </w:rPr>
          <w:t>Cette</w:t>
        </w:r>
        <w:proofErr w:type="spellEnd"/>
        <w:r w:rsidR="006F4C48" w:rsidRPr="006F4C48">
          <w:rPr>
            <w:rFonts w:ascii="Alegreya" w:hAnsi="Alegreya"/>
            <w:color w:val="C45911" w:themeColor="accent2" w:themeShade="BF"/>
            <w:sz w:val="26"/>
            <w:szCs w:val="26"/>
            <w:u w:val="single"/>
          </w:rPr>
          <w:t xml:space="preserve"> </w:t>
        </w:r>
        <w:proofErr w:type="spellStart"/>
        <w:r w:rsidR="006F4C48" w:rsidRPr="006F4C48">
          <w:rPr>
            <w:rFonts w:ascii="Alegreya" w:hAnsi="Alegreya"/>
            <w:color w:val="C45911" w:themeColor="accent2" w:themeShade="BF"/>
            <w:sz w:val="26"/>
            <w:szCs w:val="26"/>
            <w:u w:val="single"/>
          </w:rPr>
          <w:t>décomposition</w:t>
        </w:r>
        <w:proofErr w:type="spellEnd"/>
        <w:r w:rsidR="006F4C48" w:rsidRPr="006F4C48">
          <w:rPr>
            <w:rFonts w:ascii="Alegreya" w:hAnsi="Alegreya"/>
            <w:color w:val="C45911" w:themeColor="accent2" w:themeShade="BF"/>
            <w:sz w:val="26"/>
            <w:szCs w:val="26"/>
            <w:u w:val="single"/>
          </w:rPr>
          <w:t xml:space="preserve"> a </w:t>
        </w:r>
        <w:proofErr w:type="spellStart"/>
        <w:r w:rsidR="006F4C48" w:rsidRPr="006F4C48">
          <w:rPr>
            <w:rFonts w:ascii="Alegreya" w:hAnsi="Alegreya"/>
            <w:color w:val="C45911" w:themeColor="accent2" w:themeShade="BF"/>
            <w:sz w:val="26"/>
            <w:szCs w:val="26"/>
            <w:u w:val="single"/>
          </w:rPr>
          <w:t>été</w:t>
        </w:r>
        <w:proofErr w:type="spellEnd"/>
        <w:r w:rsidR="006F4C48" w:rsidRPr="006F4C48">
          <w:rPr>
            <w:rFonts w:ascii="Alegreya" w:hAnsi="Alegreya"/>
            <w:color w:val="C45911" w:themeColor="accent2" w:themeShade="BF"/>
            <w:sz w:val="26"/>
            <w:szCs w:val="26"/>
            <w:u w:val="single"/>
          </w:rPr>
          <w:t xml:space="preserve"> </w:t>
        </w:r>
        <w:proofErr w:type="spellStart"/>
        <w:r w:rsidR="006F4C48" w:rsidRPr="006F4C48">
          <w:rPr>
            <w:rFonts w:ascii="Alegreya" w:hAnsi="Alegreya"/>
            <w:color w:val="C45911" w:themeColor="accent2" w:themeShade="BF"/>
            <w:sz w:val="26"/>
            <w:szCs w:val="26"/>
            <w:u w:val="single"/>
          </w:rPr>
          <w:t>abordée</w:t>
        </w:r>
        <w:proofErr w:type="spellEnd"/>
        <w:r w:rsidR="006F4C48" w:rsidRPr="006F4C48">
          <w:rPr>
            <w:rFonts w:ascii="Alegreya" w:hAnsi="Alegreya"/>
            <w:color w:val="C45911" w:themeColor="accent2" w:themeShade="BF"/>
            <w:sz w:val="26"/>
            <w:szCs w:val="26"/>
            <w:u w:val="single"/>
          </w:rPr>
          <w:t xml:space="preserve"> </w:t>
        </w:r>
        <w:proofErr w:type="spellStart"/>
        <w:r w:rsidR="006F4C48" w:rsidRPr="006F4C48">
          <w:rPr>
            <w:rFonts w:ascii="Alegreya" w:hAnsi="Alegreya"/>
            <w:color w:val="C45911" w:themeColor="accent2" w:themeShade="BF"/>
            <w:sz w:val="26"/>
            <w:szCs w:val="26"/>
            <w:u w:val="single"/>
          </w:rPr>
          <w:t>en</w:t>
        </w:r>
        <w:proofErr w:type="spellEnd"/>
        <w:r w:rsidR="006F4C48" w:rsidRPr="006F4C48">
          <w:rPr>
            <w:rFonts w:ascii="Alegreya" w:hAnsi="Alegreya"/>
            <w:color w:val="C45911" w:themeColor="accent2" w:themeShade="BF"/>
            <w:sz w:val="26"/>
            <w:szCs w:val="26"/>
            <w:u w:val="single"/>
          </w:rPr>
          <w:t xml:space="preserve"> </w:t>
        </w:r>
        <w:proofErr w:type="spellStart"/>
        <w:r w:rsidR="006F4C48" w:rsidRPr="006F4C48">
          <w:rPr>
            <w:rFonts w:ascii="Alegreya" w:hAnsi="Alegreya"/>
            <w:color w:val="C45911" w:themeColor="accent2" w:themeShade="BF"/>
            <w:sz w:val="26"/>
            <w:szCs w:val="26"/>
            <w:u w:val="single"/>
          </w:rPr>
          <w:t>détail</w:t>
        </w:r>
        <w:proofErr w:type="spellEnd"/>
        <w:r w:rsidR="006F4C48" w:rsidRPr="006F4C48">
          <w:rPr>
            <w:rFonts w:ascii="Alegreya" w:hAnsi="Alegreya"/>
            <w:color w:val="C45911" w:themeColor="accent2" w:themeShade="BF"/>
            <w:sz w:val="26"/>
            <w:szCs w:val="26"/>
            <w:u w:val="single"/>
          </w:rPr>
          <w:t xml:space="preserve"> </w:t>
        </w:r>
        <w:proofErr w:type="spellStart"/>
        <w:r w:rsidR="006F4C48" w:rsidRPr="006F4C48">
          <w:rPr>
            <w:rFonts w:ascii="Alegreya" w:hAnsi="Alegreya"/>
            <w:color w:val="C45911" w:themeColor="accent2" w:themeShade="BF"/>
            <w:sz w:val="26"/>
            <w:szCs w:val="26"/>
            <w:u w:val="single"/>
          </w:rPr>
          <w:t>dans</w:t>
        </w:r>
        <w:proofErr w:type="spellEnd"/>
        <w:r w:rsidR="006F4C48" w:rsidRPr="006F4C48">
          <w:rPr>
            <w:rFonts w:ascii="Alegreya" w:hAnsi="Alegreya"/>
            <w:color w:val="C45911" w:themeColor="accent2" w:themeShade="BF"/>
            <w:sz w:val="26"/>
            <w:szCs w:val="26"/>
            <w:u w:val="single"/>
          </w:rPr>
          <w:t xml:space="preserve"> </w:t>
        </w:r>
        <w:proofErr w:type="spellStart"/>
        <w:r w:rsidR="006F4C48" w:rsidRPr="006F4C48">
          <w:rPr>
            <w:rFonts w:ascii="Alegreya" w:hAnsi="Alegreya"/>
            <w:color w:val="C45911" w:themeColor="accent2" w:themeShade="BF"/>
            <w:sz w:val="26"/>
            <w:szCs w:val="26"/>
            <w:u w:val="single"/>
          </w:rPr>
          <w:t>Datt</w:t>
        </w:r>
        <w:proofErr w:type="spellEnd"/>
        <w:r w:rsidR="006F4C48" w:rsidRPr="006F4C48">
          <w:rPr>
            <w:rFonts w:ascii="Alegreya" w:hAnsi="Alegreya"/>
            <w:color w:val="C45911" w:themeColor="accent2" w:themeShade="BF"/>
            <w:sz w:val="26"/>
            <w:szCs w:val="26"/>
            <w:u w:val="single"/>
          </w:rPr>
          <w:t>...</w:t>
        </w:r>
      </w:hyperlink>
      <w:r w:rsidR="006F4C48" w:rsidRPr="006F4C48">
        <w:rPr>
          <w:rFonts w:ascii="Alegreya" w:hAnsi="Alegreya"/>
          <w:color w:val="C45911" w:themeColor="accent2" w:themeShade="BF"/>
          <w:sz w:val="26"/>
          <w:szCs w:val="26"/>
        </w:rPr>
        <w:t>.</w:t>
      </w:r>
    </w:p>
    <w:p w14:paraId="0DFC496D" w14:textId="77777777" w:rsidR="006F4C48" w:rsidRPr="006F4C48" w:rsidRDefault="00290525" w:rsidP="006F4C48">
      <w:pPr>
        <w:spacing w:after="0" w:line="240" w:lineRule="auto"/>
        <w:rPr>
          <w:rFonts w:ascii="Alegreya" w:eastAsia="Times New Roman" w:hAnsi="Alegreya" w:cs="Times New Roman"/>
          <w:color w:val="C45911" w:themeColor="accent2" w:themeShade="BF"/>
          <w:sz w:val="26"/>
          <w:szCs w:val="26"/>
          <w:lang w:val="en-US" w:eastAsia="en-US"/>
        </w:rPr>
      </w:pPr>
      <w:hyperlink r:id="rId10" w:anchor="pa10" w:history="1">
        <w:r w:rsidR="006F4C48" w:rsidRPr="006F4C48">
          <w:rPr>
            <w:rFonts w:ascii="Alegreya" w:eastAsia="Times New Roman" w:hAnsi="Alegreya" w:cs="Times New Roman"/>
            <w:b/>
            <w:bCs/>
            <w:color w:val="C45911" w:themeColor="accent2" w:themeShade="BF"/>
            <w:sz w:val="23"/>
            <w:szCs w:val="23"/>
            <w:u w:val="single"/>
            <w:bdr w:val="single" w:sz="6" w:space="0" w:color="888888" w:frame="1"/>
            <w:lang w:val="en-US" w:eastAsia="en-US"/>
          </w:rPr>
          <w:t>10</w:t>
        </w:r>
      </w:hyperlink>
    </w:p>
    <w:p w14:paraId="22998D7A" w14:textId="77777777" w:rsidR="006F4C48" w:rsidRPr="006F4C48" w:rsidRDefault="006F4C48" w:rsidP="006F4C48">
      <w:pPr>
        <w:spacing w:after="0" w:line="405" w:lineRule="atLeast"/>
        <w:rPr>
          <w:rFonts w:ascii="Alegreya" w:eastAsia="Times New Roman" w:hAnsi="Alegreya" w:cs="Times New Roman"/>
          <w:color w:val="C45911" w:themeColor="accent2" w:themeShade="BF"/>
          <w:sz w:val="26"/>
          <w:szCs w:val="26"/>
          <w:lang w:val="en-US" w:eastAsia="en-US"/>
        </w:rPr>
      </w:pPr>
      <w:r w:rsidRPr="006F4C48">
        <w:rPr>
          <w:rFonts w:ascii="Alegreya" w:eastAsia="Times New Roman" w:hAnsi="Alegreya" w:cs="Times New Roman"/>
          <w:color w:val="C45911" w:themeColor="accent2" w:themeShade="BF"/>
          <w:sz w:val="26"/>
          <w:szCs w:val="26"/>
          <w:lang w:val="en-US" w:eastAsia="en-US"/>
        </w:rPr>
        <w:t xml:space="preserve">Les </w:t>
      </w:r>
      <w:proofErr w:type="spellStart"/>
      <w:r w:rsidRPr="006F4C48">
        <w:rPr>
          <w:rFonts w:ascii="Alegreya" w:eastAsia="Times New Roman" w:hAnsi="Alegreya" w:cs="Times New Roman"/>
          <w:color w:val="C45911" w:themeColor="accent2" w:themeShade="BF"/>
          <w:sz w:val="26"/>
          <w:szCs w:val="26"/>
          <w:lang w:val="en-US" w:eastAsia="en-US"/>
        </w:rPr>
        <w:t>définitions</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suivantes</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vont</w:t>
      </w:r>
      <w:proofErr w:type="spellEnd"/>
      <w:r w:rsidRPr="006F4C48">
        <w:rPr>
          <w:rFonts w:ascii="Alegreya" w:eastAsia="Times New Roman" w:hAnsi="Alegreya" w:cs="Times New Roman"/>
          <w:color w:val="C45911" w:themeColor="accent2" w:themeShade="BF"/>
          <w:sz w:val="26"/>
          <w:szCs w:val="26"/>
          <w:lang w:val="en-US" w:eastAsia="en-US"/>
        </w:rPr>
        <w:t xml:space="preserve"> aider à clarifier </w:t>
      </w:r>
      <w:proofErr w:type="spellStart"/>
      <w:r w:rsidRPr="006F4C48">
        <w:rPr>
          <w:rFonts w:ascii="Alegreya" w:eastAsia="Times New Roman" w:hAnsi="Alegreya" w:cs="Times New Roman"/>
          <w:color w:val="C45911" w:themeColor="accent2" w:themeShade="BF"/>
          <w:sz w:val="26"/>
          <w:szCs w:val="26"/>
          <w:lang w:val="en-US" w:eastAsia="en-US"/>
        </w:rPr>
        <w:t>ces</w:t>
      </w:r>
      <w:proofErr w:type="spellEnd"/>
      <w:r w:rsidRPr="006F4C48">
        <w:rPr>
          <w:rFonts w:ascii="Alegreya" w:eastAsia="Times New Roman" w:hAnsi="Alegreya" w:cs="Times New Roman"/>
          <w:color w:val="C45911" w:themeColor="accent2" w:themeShade="BF"/>
          <w:sz w:val="26"/>
          <w:szCs w:val="26"/>
          <w:lang w:val="en-US" w:eastAsia="en-US"/>
        </w:rPr>
        <w:t xml:space="preserve"> liens :</w:t>
      </w:r>
    </w:p>
    <w:p w14:paraId="77D5419B" w14:textId="77777777" w:rsidR="006F4C48" w:rsidRPr="006F4C48" w:rsidRDefault="006F4C48" w:rsidP="006F4C48">
      <w:pPr>
        <w:numPr>
          <w:ilvl w:val="0"/>
          <w:numId w:val="1"/>
        </w:numPr>
        <w:spacing w:after="0" w:line="405" w:lineRule="atLeast"/>
        <w:ind w:left="269"/>
        <w:rPr>
          <w:rFonts w:ascii="Alegreya" w:eastAsia="Times New Roman" w:hAnsi="Alegreya" w:cs="Times New Roman"/>
          <w:color w:val="C45911" w:themeColor="accent2" w:themeShade="BF"/>
          <w:sz w:val="26"/>
          <w:szCs w:val="26"/>
          <w:lang w:val="en-US" w:eastAsia="en-US"/>
        </w:rPr>
      </w:pPr>
      <w:r w:rsidRPr="006F4C48">
        <w:rPr>
          <w:rFonts w:ascii="Alegreya" w:eastAsia="Times New Roman" w:hAnsi="Alegreya" w:cs="Times New Roman"/>
          <w:color w:val="C45911" w:themeColor="accent2" w:themeShade="BF"/>
          <w:sz w:val="26"/>
          <w:szCs w:val="26"/>
          <w:lang w:val="en-US" w:eastAsia="en-US"/>
        </w:rPr>
        <w:lastRenderedPageBreak/>
        <w:t>la « </w:t>
      </w:r>
      <w:proofErr w:type="spellStart"/>
      <w:r w:rsidRPr="006F4C48">
        <w:rPr>
          <w:rFonts w:ascii="Alegreya" w:eastAsia="Times New Roman" w:hAnsi="Alegreya" w:cs="Times New Roman"/>
          <w:color w:val="C45911" w:themeColor="accent2" w:themeShade="BF"/>
          <w:sz w:val="26"/>
          <w:szCs w:val="26"/>
          <w:lang w:val="en-US" w:eastAsia="en-US"/>
        </w:rPr>
        <w:t>pauvreté</w:t>
      </w:r>
      <w:proofErr w:type="spellEnd"/>
      <w:r w:rsidRPr="006F4C48">
        <w:rPr>
          <w:rFonts w:ascii="Alegreya" w:eastAsia="Times New Roman" w:hAnsi="Alegreya" w:cs="Times New Roman"/>
          <w:color w:val="C45911" w:themeColor="accent2" w:themeShade="BF"/>
          <w:sz w:val="26"/>
          <w:szCs w:val="26"/>
          <w:lang w:val="en-US" w:eastAsia="en-US"/>
        </w:rPr>
        <w:t xml:space="preserve"> » </w:t>
      </w:r>
      <w:proofErr w:type="spellStart"/>
      <w:r w:rsidRPr="006F4C48">
        <w:rPr>
          <w:rFonts w:ascii="Alegreya" w:eastAsia="Times New Roman" w:hAnsi="Alegreya" w:cs="Times New Roman"/>
          <w:color w:val="C45911" w:themeColor="accent2" w:themeShade="BF"/>
          <w:sz w:val="26"/>
          <w:szCs w:val="26"/>
          <w:lang w:val="en-US" w:eastAsia="en-US"/>
        </w:rPr>
        <w:t>est</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mesurée</w:t>
      </w:r>
      <w:proofErr w:type="spellEnd"/>
      <w:r w:rsidRPr="006F4C48">
        <w:rPr>
          <w:rFonts w:ascii="Alegreya" w:eastAsia="Times New Roman" w:hAnsi="Alegreya" w:cs="Times New Roman"/>
          <w:color w:val="C45911" w:themeColor="accent2" w:themeShade="BF"/>
          <w:sz w:val="26"/>
          <w:szCs w:val="26"/>
          <w:lang w:val="en-US" w:eastAsia="en-US"/>
        </w:rPr>
        <w:t xml:space="preserve"> par </w:t>
      </w:r>
      <w:proofErr w:type="spellStart"/>
      <w:r w:rsidRPr="006F4C48">
        <w:rPr>
          <w:rFonts w:ascii="Alegreya" w:eastAsia="Times New Roman" w:hAnsi="Alegreya" w:cs="Times New Roman"/>
          <w:color w:val="C45911" w:themeColor="accent2" w:themeShade="BF"/>
          <w:sz w:val="26"/>
          <w:szCs w:val="26"/>
          <w:lang w:val="en-US" w:eastAsia="en-US"/>
        </w:rPr>
        <w:t>l’indice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numérique</w:t>
      </w:r>
      <w:proofErr w:type="spellEnd"/>
      <w:r w:rsidRPr="006F4C48">
        <w:rPr>
          <w:rFonts w:ascii="Alegreya" w:eastAsia="Times New Roman" w:hAnsi="Alegreya" w:cs="Times New Roman"/>
          <w:color w:val="C45911" w:themeColor="accent2" w:themeShade="BF"/>
          <w:sz w:val="26"/>
          <w:szCs w:val="26"/>
          <w:lang w:val="en-US" w:eastAsia="en-US"/>
        </w:rPr>
        <w:t xml:space="preserve"> de </w:t>
      </w:r>
      <w:proofErr w:type="spellStart"/>
      <w:r w:rsidRPr="006F4C48">
        <w:rPr>
          <w:rFonts w:ascii="Alegreya" w:eastAsia="Times New Roman" w:hAnsi="Alegreya" w:cs="Times New Roman"/>
          <w:color w:val="C45911" w:themeColor="accent2" w:themeShade="BF"/>
          <w:sz w:val="26"/>
          <w:szCs w:val="26"/>
          <w:lang w:val="en-US" w:eastAsia="en-US"/>
        </w:rPr>
        <w:t>pauvreté</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absolue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c’est</w:t>
      </w:r>
      <w:proofErr w:type="spellEnd"/>
      <w:r w:rsidRPr="006F4C48">
        <w:rPr>
          <w:rFonts w:ascii="Alegreya" w:eastAsia="Times New Roman" w:hAnsi="Alegreya" w:cs="Times New Roman"/>
          <w:color w:val="C45911" w:themeColor="accent2" w:themeShade="BF"/>
          <w:sz w:val="26"/>
          <w:szCs w:val="26"/>
          <w:lang w:val="en-US" w:eastAsia="en-US"/>
        </w:rPr>
        <w:t xml:space="preserve">-à-dire la proportion de la population </w:t>
      </w:r>
      <w:proofErr w:type="spellStart"/>
      <w:r w:rsidRPr="006F4C48">
        <w:rPr>
          <w:rFonts w:ascii="Alegreya" w:eastAsia="Times New Roman" w:hAnsi="Alegreya" w:cs="Times New Roman"/>
          <w:color w:val="C45911" w:themeColor="accent2" w:themeShade="BF"/>
          <w:sz w:val="26"/>
          <w:szCs w:val="26"/>
          <w:lang w:val="en-US" w:eastAsia="en-US"/>
        </w:rPr>
        <w:t>en</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deçà</w:t>
      </w:r>
      <w:proofErr w:type="spellEnd"/>
      <w:r w:rsidRPr="006F4C48">
        <w:rPr>
          <w:rFonts w:ascii="Alegreya" w:eastAsia="Times New Roman" w:hAnsi="Alegreya" w:cs="Times New Roman"/>
          <w:color w:val="C45911" w:themeColor="accent2" w:themeShade="BF"/>
          <w:sz w:val="26"/>
          <w:szCs w:val="26"/>
          <w:lang w:val="en-US" w:eastAsia="en-US"/>
        </w:rPr>
        <w:t xml:space="preserve"> d’un </w:t>
      </w:r>
      <w:proofErr w:type="spellStart"/>
      <w:r w:rsidRPr="006F4C48">
        <w:rPr>
          <w:rFonts w:ascii="Alegreya" w:eastAsia="Times New Roman" w:hAnsi="Alegreya" w:cs="Times New Roman"/>
          <w:i/>
          <w:iCs/>
          <w:color w:val="C45911" w:themeColor="accent2" w:themeShade="BF"/>
          <w:sz w:val="26"/>
          <w:szCs w:val="26"/>
          <w:lang w:val="en-US" w:eastAsia="en-US"/>
        </w:rPr>
        <w:t>seuil</w:t>
      </w:r>
      <w:proofErr w:type="spellEnd"/>
      <w:r w:rsidRPr="006F4C48">
        <w:rPr>
          <w:rFonts w:ascii="Alegreya" w:eastAsia="Times New Roman" w:hAnsi="Alegreya" w:cs="Times New Roman"/>
          <w:i/>
          <w:iCs/>
          <w:color w:val="C45911" w:themeColor="accent2" w:themeShade="BF"/>
          <w:sz w:val="26"/>
          <w:szCs w:val="26"/>
          <w:lang w:val="en-US" w:eastAsia="en-US"/>
        </w:rPr>
        <w:t xml:space="preserve"> de </w:t>
      </w:r>
      <w:proofErr w:type="spellStart"/>
      <w:r w:rsidRPr="006F4C48">
        <w:rPr>
          <w:rFonts w:ascii="Alegreya" w:eastAsia="Times New Roman" w:hAnsi="Alegreya" w:cs="Times New Roman"/>
          <w:i/>
          <w:iCs/>
          <w:color w:val="C45911" w:themeColor="accent2" w:themeShade="BF"/>
          <w:sz w:val="26"/>
          <w:szCs w:val="26"/>
          <w:lang w:val="en-US" w:eastAsia="en-US"/>
        </w:rPr>
        <w:t>pauvreté</w:t>
      </w:r>
      <w:proofErr w:type="spellEnd"/>
      <w:r w:rsidRPr="006F4C48">
        <w:rPr>
          <w:rFonts w:ascii="Alegreya" w:eastAsia="Times New Roman" w:hAnsi="Alegreya" w:cs="Times New Roman"/>
          <w:color w:val="C45911" w:themeColor="accent2" w:themeShade="BF"/>
          <w:sz w:val="26"/>
          <w:szCs w:val="26"/>
          <w:lang w:val="en-US" w:eastAsia="en-US"/>
        </w:rPr>
        <w:t> </w:t>
      </w:r>
      <w:proofErr w:type="spellStart"/>
      <w:r w:rsidRPr="006F4C48">
        <w:rPr>
          <w:rFonts w:ascii="Alegreya" w:eastAsia="Times New Roman" w:hAnsi="Alegreya" w:cs="Times New Roman"/>
          <w:color w:val="C45911" w:themeColor="accent2" w:themeShade="BF"/>
          <w:sz w:val="26"/>
          <w:szCs w:val="26"/>
          <w:lang w:val="en-US" w:eastAsia="en-US"/>
        </w:rPr>
        <w:t>donné</w:t>
      </w:r>
      <w:proofErr w:type="spellEnd"/>
      <w:r w:rsidRPr="006F4C48">
        <w:rPr>
          <w:rFonts w:ascii="Alegreya" w:eastAsia="Times New Roman" w:hAnsi="Alegreya" w:cs="Times New Roman"/>
          <w:color w:val="C45911" w:themeColor="accent2" w:themeShade="BF"/>
          <w:sz w:val="26"/>
          <w:szCs w:val="26"/>
          <w:lang w:val="en-US" w:eastAsia="en-US"/>
        </w:rPr>
        <w:t xml:space="preserve"> (par </w:t>
      </w:r>
      <w:proofErr w:type="spellStart"/>
      <w:r w:rsidRPr="006F4C48">
        <w:rPr>
          <w:rFonts w:ascii="Alegreya" w:eastAsia="Times New Roman" w:hAnsi="Alegreya" w:cs="Times New Roman"/>
          <w:color w:val="C45911" w:themeColor="accent2" w:themeShade="BF"/>
          <w:sz w:val="26"/>
          <w:szCs w:val="26"/>
          <w:lang w:val="en-US" w:eastAsia="en-US"/>
        </w:rPr>
        <w:t>exemple</w:t>
      </w:r>
      <w:proofErr w:type="spellEnd"/>
      <w:r w:rsidRPr="006F4C48">
        <w:rPr>
          <w:rFonts w:ascii="Alegreya" w:eastAsia="Times New Roman" w:hAnsi="Alegreya" w:cs="Times New Roman"/>
          <w:color w:val="C45911" w:themeColor="accent2" w:themeShade="BF"/>
          <w:sz w:val="26"/>
          <w:szCs w:val="26"/>
          <w:lang w:val="en-US" w:eastAsia="en-US"/>
        </w:rPr>
        <w:t xml:space="preserve">, 1 USD par jour) </w:t>
      </w:r>
      <w:proofErr w:type="spellStart"/>
      <w:r w:rsidRPr="006F4C48">
        <w:rPr>
          <w:rFonts w:ascii="Alegreya" w:eastAsia="Times New Roman" w:hAnsi="Alegreya" w:cs="Times New Roman"/>
          <w:color w:val="C45911" w:themeColor="accent2" w:themeShade="BF"/>
          <w:sz w:val="26"/>
          <w:szCs w:val="26"/>
          <w:lang w:val="en-US" w:eastAsia="en-US"/>
        </w:rPr>
        <w:t>telle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qu’elle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est</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établie</w:t>
      </w:r>
      <w:proofErr w:type="spellEnd"/>
      <w:r w:rsidRPr="006F4C48">
        <w:rPr>
          <w:rFonts w:ascii="Alegreya" w:eastAsia="Times New Roman" w:hAnsi="Alegreya" w:cs="Times New Roman"/>
          <w:color w:val="C45911" w:themeColor="accent2" w:themeShade="BF"/>
          <w:sz w:val="26"/>
          <w:szCs w:val="26"/>
          <w:lang w:val="en-US" w:eastAsia="en-US"/>
        </w:rPr>
        <w:t xml:space="preserve"> par les </w:t>
      </w:r>
      <w:proofErr w:type="spellStart"/>
      <w:r w:rsidRPr="006F4C48">
        <w:rPr>
          <w:rFonts w:ascii="Alegreya" w:eastAsia="Times New Roman" w:hAnsi="Alegreya" w:cs="Times New Roman"/>
          <w:color w:val="C45911" w:themeColor="accent2" w:themeShade="BF"/>
          <w:sz w:val="26"/>
          <w:szCs w:val="26"/>
          <w:lang w:val="en-US" w:eastAsia="en-US"/>
        </w:rPr>
        <w:t>données</w:t>
      </w:r>
      <w:proofErr w:type="spellEnd"/>
      <w:r w:rsidRPr="006F4C48">
        <w:rPr>
          <w:rFonts w:ascii="Alegreya" w:eastAsia="Times New Roman" w:hAnsi="Alegreya" w:cs="Times New Roman"/>
          <w:color w:val="C45911" w:themeColor="accent2" w:themeShade="BF"/>
          <w:sz w:val="26"/>
          <w:szCs w:val="26"/>
          <w:lang w:val="en-US" w:eastAsia="en-US"/>
        </w:rPr>
        <w:t xml:space="preserve"> des </w:t>
      </w:r>
      <w:proofErr w:type="spellStart"/>
      <w:r w:rsidRPr="006F4C48">
        <w:rPr>
          <w:rFonts w:ascii="Alegreya" w:eastAsia="Times New Roman" w:hAnsi="Alegreya" w:cs="Times New Roman"/>
          <w:color w:val="C45911" w:themeColor="accent2" w:themeShade="BF"/>
          <w:sz w:val="26"/>
          <w:szCs w:val="26"/>
          <w:lang w:val="en-US" w:eastAsia="en-US"/>
        </w:rPr>
        <w:t>enquêtes</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auprès</w:t>
      </w:r>
      <w:proofErr w:type="spellEnd"/>
      <w:r w:rsidRPr="006F4C48">
        <w:rPr>
          <w:rFonts w:ascii="Alegreya" w:eastAsia="Times New Roman" w:hAnsi="Alegreya" w:cs="Times New Roman"/>
          <w:color w:val="C45911" w:themeColor="accent2" w:themeShade="BF"/>
          <w:sz w:val="26"/>
          <w:szCs w:val="26"/>
          <w:lang w:val="en-US" w:eastAsia="en-US"/>
        </w:rPr>
        <w:t xml:space="preserve"> des ménages. </w:t>
      </w:r>
      <w:proofErr w:type="spellStart"/>
      <w:r w:rsidRPr="006F4C48">
        <w:rPr>
          <w:rFonts w:ascii="Alegreya" w:eastAsia="Times New Roman" w:hAnsi="Alegreya" w:cs="Times New Roman"/>
          <w:color w:val="C45911" w:themeColor="accent2" w:themeShade="BF"/>
          <w:sz w:val="26"/>
          <w:szCs w:val="26"/>
          <w:lang w:val="en-US" w:eastAsia="en-US"/>
        </w:rPr>
        <w:t>D’autres</w:t>
      </w:r>
      <w:proofErr w:type="spellEnd"/>
      <w:r w:rsidRPr="006F4C48">
        <w:rPr>
          <w:rFonts w:ascii="Alegreya" w:eastAsia="Times New Roman" w:hAnsi="Alegreya" w:cs="Times New Roman"/>
          <w:color w:val="C45911" w:themeColor="accent2" w:themeShade="BF"/>
          <w:sz w:val="26"/>
          <w:szCs w:val="26"/>
          <w:lang w:val="en-US" w:eastAsia="en-US"/>
        </w:rPr>
        <w:t xml:space="preserve"> indices </w:t>
      </w:r>
      <w:proofErr w:type="spellStart"/>
      <w:r w:rsidRPr="006F4C48">
        <w:rPr>
          <w:rFonts w:ascii="Alegreya" w:eastAsia="Times New Roman" w:hAnsi="Alegreya" w:cs="Times New Roman"/>
          <w:color w:val="C45911" w:themeColor="accent2" w:themeShade="BF"/>
          <w:sz w:val="26"/>
          <w:szCs w:val="26"/>
          <w:lang w:val="en-US" w:eastAsia="en-US"/>
        </w:rPr>
        <w:t>peuvent</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être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utilisés</w:t>
      </w:r>
      <w:proofErr w:type="spellEnd"/>
      <w:r w:rsidRPr="006F4C48">
        <w:rPr>
          <w:rFonts w:ascii="Alegreya" w:eastAsia="Times New Roman" w:hAnsi="Alegreya" w:cs="Times New Roman"/>
          <w:color w:val="C45911" w:themeColor="accent2" w:themeShade="BF"/>
          <w:sz w:val="26"/>
          <w:szCs w:val="26"/>
          <w:lang w:val="en-US" w:eastAsia="en-US"/>
        </w:rPr>
        <w:t xml:space="preserve"> (avec le </w:t>
      </w:r>
      <w:proofErr w:type="spellStart"/>
      <w:r w:rsidRPr="006F4C48">
        <w:rPr>
          <w:rFonts w:ascii="Alegreya" w:eastAsia="Times New Roman" w:hAnsi="Alegreya" w:cs="Times New Roman"/>
          <w:color w:val="C45911" w:themeColor="accent2" w:themeShade="BF"/>
          <w:sz w:val="26"/>
          <w:szCs w:val="26"/>
          <w:lang w:val="en-US" w:eastAsia="en-US"/>
        </w:rPr>
        <w:t>même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seuil</w:t>
      </w:r>
      <w:proofErr w:type="spellEnd"/>
      <w:r w:rsidRPr="006F4C48">
        <w:rPr>
          <w:rFonts w:ascii="Alegreya" w:eastAsia="Times New Roman" w:hAnsi="Alegreya" w:cs="Times New Roman"/>
          <w:color w:val="C45911" w:themeColor="accent2" w:themeShade="BF"/>
          <w:sz w:val="26"/>
          <w:szCs w:val="26"/>
          <w:lang w:val="en-US" w:eastAsia="en-US"/>
        </w:rPr>
        <w:t xml:space="preserve"> de </w:t>
      </w:r>
      <w:proofErr w:type="spellStart"/>
      <w:r w:rsidRPr="006F4C48">
        <w:rPr>
          <w:rFonts w:ascii="Alegreya" w:eastAsia="Times New Roman" w:hAnsi="Alegreya" w:cs="Times New Roman"/>
          <w:color w:val="C45911" w:themeColor="accent2" w:themeShade="BF"/>
          <w:sz w:val="26"/>
          <w:szCs w:val="26"/>
          <w:lang w:val="en-US" w:eastAsia="en-US"/>
        </w:rPr>
        <w:t>pauvreté</w:t>
      </w:r>
      <w:proofErr w:type="spellEnd"/>
      <w:r w:rsidRPr="006F4C48">
        <w:rPr>
          <w:rFonts w:ascii="Alegreya" w:eastAsia="Times New Roman" w:hAnsi="Alegreya" w:cs="Times New Roman"/>
          <w:color w:val="C45911" w:themeColor="accent2" w:themeShade="BF"/>
          <w:sz w:val="26"/>
          <w:szCs w:val="26"/>
          <w:lang w:val="en-US" w:eastAsia="en-US"/>
        </w:rPr>
        <w:t>) ;</w:t>
      </w:r>
    </w:p>
    <w:p w14:paraId="4B42D1AB" w14:textId="77777777" w:rsidR="006F4C48" w:rsidRPr="006F4C48" w:rsidRDefault="006F4C48" w:rsidP="006F4C48">
      <w:pPr>
        <w:numPr>
          <w:ilvl w:val="0"/>
          <w:numId w:val="1"/>
        </w:numPr>
        <w:spacing w:after="0" w:line="405" w:lineRule="atLeast"/>
        <w:ind w:left="269"/>
        <w:rPr>
          <w:rFonts w:ascii="Alegreya" w:eastAsia="Times New Roman" w:hAnsi="Alegreya" w:cs="Times New Roman"/>
          <w:color w:val="C45911" w:themeColor="accent2" w:themeShade="BF"/>
          <w:sz w:val="26"/>
          <w:szCs w:val="26"/>
          <w:lang w:val="en-US" w:eastAsia="en-US"/>
        </w:rPr>
      </w:pPr>
      <w:r w:rsidRPr="006F4C48">
        <w:rPr>
          <w:rFonts w:ascii="Alegreya" w:eastAsia="Times New Roman" w:hAnsi="Alegreya" w:cs="Times New Roman"/>
          <w:color w:val="C45911" w:themeColor="accent2" w:themeShade="BF"/>
          <w:sz w:val="26"/>
          <w:szCs w:val="26"/>
          <w:lang w:val="en-US" w:eastAsia="en-US"/>
        </w:rPr>
        <w:t>l’« </w:t>
      </w:r>
      <w:proofErr w:type="spellStart"/>
      <w:r w:rsidRPr="006F4C48">
        <w:rPr>
          <w:rFonts w:ascii="Alegreya" w:eastAsia="Times New Roman" w:hAnsi="Alegreya" w:cs="Times New Roman"/>
          <w:color w:val="C45911" w:themeColor="accent2" w:themeShade="BF"/>
          <w:sz w:val="26"/>
          <w:szCs w:val="26"/>
          <w:lang w:val="en-US" w:eastAsia="en-US"/>
        </w:rPr>
        <w:t>inégalité</w:t>
      </w:r>
      <w:proofErr w:type="spellEnd"/>
      <w:r w:rsidRPr="006F4C48">
        <w:rPr>
          <w:rFonts w:ascii="Alegreya" w:eastAsia="Times New Roman" w:hAnsi="Alegreya" w:cs="Times New Roman"/>
          <w:color w:val="C45911" w:themeColor="accent2" w:themeShade="BF"/>
          <w:sz w:val="26"/>
          <w:szCs w:val="26"/>
          <w:lang w:val="en-US" w:eastAsia="en-US"/>
        </w:rPr>
        <w:t> » (</w:t>
      </w:r>
      <w:proofErr w:type="spellStart"/>
      <w:r w:rsidRPr="006F4C48">
        <w:rPr>
          <w:rFonts w:ascii="Alegreya" w:eastAsia="Times New Roman" w:hAnsi="Alegreya" w:cs="Times New Roman"/>
          <w:color w:val="C45911" w:themeColor="accent2" w:themeShade="BF"/>
          <w:sz w:val="26"/>
          <w:szCs w:val="26"/>
          <w:lang w:val="en-US" w:eastAsia="en-US"/>
        </w:rPr>
        <w:t>ou</w:t>
      </w:r>
      <w:proofErr w:type="spellEnd"/>
      <w:r w:rsidRPr="006F4C48">
        <w:rPr>
          <w:rFonts w:ascii="Alegreya" w:eastAsia="Times New Roman" w:hAnsi="Alegreya" w:cs="Times New Roman"/>
          <w:color w:val="C45911" w:themeColor="accent2" w:themeShade="BF"/>
          <w:sz w:val="26"/>
          <w:szCs w:val="26"/>
          <w:lang w:val="en-US" w:eastAsia="en-US"/>
        </w:rPr>
        <w:t xml:space="preserve"> la « distribution ») fait </w:t>
      </w:r>
      <w:proofErr w:type="spellStart"/>
      <w:r w:rsidRPr="006F4C48">
        <w:rPr>
          <w:rFonts w:ascii="Alegreya" w:eastAsia="Times New Roman" w:hAnsi="Alegreya" w:cs="Times New Roman"/>
          <w:color w:val="C45911" w:themeColor="accent2" w:themeShade="BF"/>
          <w:sz w:val="26"/>
          <w:szCs w:val="26"/>
          <w:lang w:val="en-US" w:eastAsia="en-US"/>
        </w:rPr>
        <w:t>référence</w:t>
      </w:r>
      <w:proofErr w:type="spellEnd"/>
      <w:r w:rsidRPr="006F4C48">
        <w:rPr>
          <w:rFonts w:ascii="Alegreya" w:eastAsia="Times New Roman" w:hAnsi="Alegreya" w:cs="Times New Roman"/>
          <w:color w:val="C45911" w:themeColor="accent2" w:themeShade="BF"/>
          <w:sz w:val="26"/>
          <w:szCs w:val="26"/>
          <w:lang w:val="en-US" w:eastAsia="en-US"/>
        </w:rPr>
        <w:t xml:space="preserve"> aux </w:t>
      </w:r>
      <w:proofErr w:type="spellStart"/>
      <w:r w:rsidRPr="006F4C48">
        <w:rPr>
          <w:rFonts w:ascii="Alegreya" w:eastAsia="Times New Roman" w:hAnsi="Alegreya" w:cs="Times New Roman"/>
          <w:color w:val="C45911" w:themeColor="accent2" w:themeShade="BF"/>
          <w:sz w:val="26"/>
          <w:szCs w:val="26"/>
          <w:lang w:val="en-US" w:eastAsia="en-US"/>
        </w:rPr>
        <w:t>écarts</w:t>
      </w:r>
      <w:proofErr w:type="spellEnd"/>
      <w:r w:rsidRPr="006F4C48">
        <w:rPr>
          <w:rFonts w:ascii="Alegreya" w:eastAsia="Times New Roman" w:hAnsi="Alegreya" w:cs="Times New Roman"/>
          <w:color w:val="C45911" w:themeColor="accent2" w:themeShade="BF"/>
          <w:sz w:val="26"/>
          <w:szCs w:val="26"/>
          <w:lang w:val="en-US" w:eastAsia="en-US"/>
        </w:rPr>
        <w:t xml:space="preserve"> de </w:t>
      </w:r>
      <w:proofErr w:type="spellStart"/>
      <w:r w:rsidRPr="006F4C48">
        <w:rPr>
          <w:rFonts w:ascii="Alegreya" w:eastAsia="Times New Roman" w:hAnsi="Alegreya" w:cs="Times New Roman"/>
          <w:i/>
          <w:iCs/>
          <w:color w:val="C45911" w:themeColor="accent2" w:themeShade="BF"/>
          <w:sz w:val="26"/>
          <w:szCs w:val="26"/>
          <w:lang w:val="en-US" w:eastAsia="en-US"/>
        </w:rPr>
        <w:t>revenu</w:t>
      </w:r>
      <w:proofErr w:type="spellEnd"/>
      <w:r w:rsidRPr="006F4C48">
        <w:rPr>
          <w:rFonts w:ascii="Alegreya" w:eastAsia="Times New Roman" w:hAnsi="Alegreya" w:cs="Times New Roman"/>
          <w:i/>
          <w:iCs/>
          <w:color w:val="C45911" w:themeColor="accent2" w:themeShade="BF"/>
          <w:sz w:val="26"/>
          <w:szCs w:val="26"/>
          <w:lang w:val="en-US" w:eastAsia="en-US"/>
        </w:rPr>
        <w:t xml:space="preserve"> </w:t>
      </w:r>
      <w:proofErr w:type="spellStart"/>
      <w:r w:rsidRPr="006F4C48">
        <w:rPr>
          <w:rFonts w:ascii="Alegreya" w:eastAsia="Times New Roman" w:hAnsi="Alegreya" w:cs="Times New Roman"/>
          <w:i/>
          <w:iCs/>
          <w:color w:val="C45911" w:themeColor="accent2" w:themeShade="BF"/>
          <w:sz w:val="26"/>
          <w:szCs w:val="26"/>
          <w:lang w:val="en-US" w:eastAsia="en-US"/>
        </w:rPr>
        <w:t>relatif</w:t>
      </w:r>
      <w:proofErr w:type="spellEnd"/>
      <w:r w:rsidRPr="006F4C48">
        <w:rPr>
          <w:rFonts w:ascii="Alegreya" w:eastAsia="Times New Roman" w:hAnsi="Alegreya" w:cs="Times New Roman"/>
          <w:color w:val="C45911" w:themeColor="accent2" w:themeShade="BF"/>
          <w:sz w:val="26"/>
          <w:szCs w:val="26"/>
          <w:lang w:val="en-US" w:eastAsia="en-US"/>
        </w:rPr>
        <w:t> </w:t>
      </w:r>
      <w:proofErr w:type="spellStart"/>
      <w:r w:rsidRPr="006F4C48">
        <w:rPr>
          <w:rFonts w:ascii="Alegreya" w:eastAsia="Times New Roman" w:hAnsi="Alegreya" w:cs="Times New Roman"/>
          <w:color w:val="C45911" w:themeColor="accent2" w:themeShade="BF"/>
          <w:sz w:val="26"/>
          <w:szCs w:val="26"/>
          <w:lang w:val="en-US" w:eastAsia="en-US"/>
        </w:rPr>
        <w:t>dans</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l’ensemble</w:t>
      </w:r>
      <w:proofErr w:type="spellEnd"/>
      <w:r w:rsidRPr="006F4C48">
        <w:rPr>
          <w:rFonts w:ascii="Alegreya" w:eastAsia="Times New Roman" w:hAnsi="Alegreya" w:cs="Times New Roman"/>
          <w:color w:val="C45911" w:themeColor="accent2" w:themeShade="BF"/>
          <w:sz w:val="26"/>
          <w:szCs w:val="26"/>
          <w:lang w:val="en-US" w:eastAsia="en-US"/>
        </w:rPr>
        <w:t xml:space="preserve"> de la population, </w:t>
      </w:r>
      <w:proofErr w:type="spellStart"/>
      <w:r w:rsidRPr="006F4C48">
        <w:rPr>
          <w:rFonts w:ascii="Alegreya" w:eastAsia="Times New Roman" w:hAnsi="Alegreya" w:cs="Times New Roman"/>
          <w:color w:val="C45911" w:themeColor="accent2" w:themeShade="BF"/>
          <w:sz w:val="26"/>
          <w:szCs w:val="26"/>
          <w:lang w:val="en-US" w:eastAsia="en-US"/>
        </w:rPr>
        <w:t>c’est</w:t>
      </w:r>
      <w:proofErr w:type="spellEnd"/>
      <w:r w:rsidRPr="006F4C48">
        <w:rPr>
          <w:rFonts w:ascii="Alegreya" w:eastAsia="Times New Roman" w:hAnsi="Alegreya" w:cs="Times New Roman"/>
          <w:color w:val="C45911" w:themeColor="accent2" w:themeShade="BF"/>
          <w:sz w:val="26"/>
          <w:szCs w:val="26"/>
          <w:lang w:val="en-US" w:eastAsia="en-US"/>
        </w:rPr>
        <w:t xml:space="preserve">-à-dire aux </w:t>
      </w:r>
      <w:proofErr w:type="spellStart"/>
      <w:r w:rsidRPr="006F4C48">
        <w:rPr>
          <w:rFonts w:ascii="Alegreya" w:eastAsia="Times New Roman" w:hAnsi="Alegreya" w:cs="Times New Roman"/>
          <w:color w:val="C45911" w:themeColor="accent2" w:themeShade="BF"/>
          <w:sz w:val="26"/>
          <w:szCs w:val="26"/>
          <w:lang w:val="en-US" w:eastAsia="en-US"/>
        </w:rPr>
        <w:t>différences</w:t>
      </w:r>
      <w:proofErr w:type="spellEnd"/>
      <w:r w:rsidRPr="006F4C48">
        <w:rPr>
          <w:rFonts w:ascii="Alegreya" w:eastAsia="Times New Roman" w:hAnsi="Alegreya" w:cs="Times New Roman"/>
          <w:color w:val="C45911" w:themeColor="accent2" w:themeShade="BF"/>
          <w:sz w:val="26"/>
          <w:szCs w:val="26"/>
          <w:lang w:val="en-US" w:eastAsia="en-US"/>
        </w:rPr>
        <w:t xml:space="preserve"> de </w:t>
      </w:r>
      <w:proofErr w:type="spellStart"/>
      <w:r w:rsidRPr="006F4C48">
        <w:rPr>
          <w:rFonts w:ascii="Alegreya" w:eastAsia="Times New Roman" w:hAnsi="Alegreya" w:cs="Times New Roman"/>
          <w:color w:val="C45911" w:themeColor="accent2" w:themeShade="BF"/>
          <w:sz w:val="26"/>
          <w:szCs w:val="26"/>
          <w:lang w:val="en-US" w:eastAsia="en-US"/>
        </w:rPr>
        <w:t>revenu</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obtenues</w:t>
      </w:r>
      <w:proofErr w:type="spellEnd"/>
      <w:r w:rsidRPr="006F4C48">
        <w:rPr>
          <w:rFonts w:ascii="Alegreya" w:eastAsia="Times New Roman" w:hAnsi="Alegreya" w:cs="Times New Roman"/>
          <w:color w:val="C45911" w:themeColor="accent2" w:themeShade="BF"/>
          <w:sz w:val="26"/>
          <w:szCs w:val="26"/>
          <w:lang w:val="en-US" w:eastAsia="en-US"/>
        </w:rPr>
        <w:t xml:space="preserve"> après </w:t>
      </w:r>
      <w:proofErr w:type="spellStart"/>
      <w:r w:rsidRPr="006F4C48">
        <w:rPr>
          <w:rFonts w:ascii="Alegreya" w:eastAsia="Times New Roman" w:hAnsi="Alegreya" w:cs="Times New Roman"/>
          <w:color w:val="C45911" w:themeColor="accent2" w:themeShade="BF"/>
          <w:sz w:val="26"/>
          <w:szCs w:val="26"/>
          <w:lang w:val="en-US" w:eastAsia="en-US"/>
        </w:rPr>
        <w:t>normalisation</w:t>
      </w:r>
      <w:proofErr w:type="spellEnd"/>
      <w:r w:rsidRPr="006F4C48">
        <w:rPr>
          <w:rFonts w:ascii="Alegreya" w:eastAsia="Times New Roman" w:hAnsi="Alegreya" w:cs="Times New Roman"/>
          <w:color w:val="C45911" w:themeColor="accent2" w:themeShade="BF"/>
          <w:sz w:val="26"/>
          <w:szCs w:val="26"/>
          <w:lang w:val="en-US" w:eastAsia="en-US"/>
        </w:rPr>
        <w:t xml:space="preserve"> des </w:t>
      </w:r>
      <w:proofErr w:type="spellStart"/>
      <w:r w:rsidRPr="006F4C48">
        <w:rPr>
          <w:rFonts w:ascii="Alegreya" w:eastAsia="Times New Roman" w:hAnsi="Alegreya" w:cs="Times New Roman"/>
          <w:color w:val="C45911" w:themeColor="accent2" w:themeShade="BF"/>
          <w:sz w:val="26"/>
          <w:szCs w:val="26"/>
          <w:lang w:val="en-US" w:eastAsia="en-US"/>
        </w:rPr>
        <w:t>données</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observées</w:t>
      </w:r>
      <w:proofErr w:type="spellEnd"/>
      <w:r w:rsidRPr="006F4C48">
        <w:rPr>
          <w:rFonts w:ascii="Alegreya" w:eastAsia="Times New Roman" w:hAnsi="Alegreya" w:cs="Times New Roman"/>
          <w:color w:val="C45911" w:themeColor="accent2" w:themeShade="BF"/>
          <w:sz w:val="26"/>
          <w:szCs w:val="26"/>
          <w:lang w:val="en-US" w:eastAsia="en-US"/>
        </w:rPr>
        <w:t xml:space="preserve"> par rapport à la </w:t>
      </w:r>
      <w:proofErr w:type="spellStart"/>
      <w:r w:rsidRPr="006F4C48">
        <w:rPr>
          <w:rFonts w:ascii="Alegreya" w:eastAsia="Times New Roman" w:hAnsi="Alegreya" w:cs="Times New Roman"/>
          <w:color w:val="C45911" w:themeColor="accent2" w:themeShade="BF"/>
          <w:sz w:val="26"/>
          <w:szCs w:val="26"/>
          <w:lang w:val="en-US" w:eastAsia="en-US"/>
        </w:rPr>
        <w:t>moyenne</w:t>
      </w:r>
      <w:proofErr w:type="spellEnd"/>
      <w:r w:rsidRPr="006F4C48">
        <w:rPr>
          <w:rFonts w:ascii="Alegreya" w:eastAsia="Times New Roman" w:hAnsi="Alegreya" w:cs="Times New Roman"/>
          <w:color w:val="C45911" w:themeColor="accent2" w:themeShade="BF"/>
          <w:sz w:val="26"/>
          <w:szCs w:val="26"/>
          <w:lang w:val="en-US" w:eastAsia="en-US"/>
        </w:rPr>
        <w:t xml:space="preserve"> de la population de </w:t>
      </w:r>
      <w:proofErr w:type="spellStart"/>
      <w:r w:rsidRPr="006F4C48">
        <w:rPr>
          <w:rFonts w:ascii="Alegreya" w:eastAsia="Times New Roman" w:hAnsi="Alegreya" w:cs="Times New Roman"/>
          <w:color w:val="C45911" w:themeColor="accent2" w:themeShade="BF"/>
          <w:sz w:val="26"/>
          <w:szCs w:val="26"/>
          <w:lang w:val="en-US" w:eastAsia="en-US"/>
        </w:rPr>
        <w:t>façon</w:t>
      </w:r>
      <w:proofErr w:type="spellEnd"/>
      <w:r w:rsidRPr="006F4C48">
        <w:rPr>
          <w:rFonts w:ascii="Alegreya" w:eastAsia="Times New Roman" w:hAnsi="Alegreya" w:cs="Times New Roman"/>
          <w:color w:val="C45911" w:themeColor="accent2" w:themeShade="BF"/>
          <w:sz w:val="26"/>
          <w:szCs w:val="26"/>
          <w:lang w:val="en-US" w:eastAsia="en-US"/>
        </w:rPr>
        <w:t xml:space="preserve"> à les </w:t>
      </w:r>
      <w:proofErr w:type="spellStart"/>
      <w:r w:rsidRPr="006F4C48">
        <w:rPr>
          <w:rFonts w:ascii="Alegreya" w:eastAsia="Times New Roman" w:hAnsi="Alegreya" w:cs="Times New Roman"/>
          <w:color w:val="C45911" w:themeColor="accent2" w:themeShade="BF"/>
          <w:sz w:val="26"/>
          <w:szCs w:val="26"/>
          <w:lang w:val="en-US" w:eastAsia="en-US"/>
        </w:rPr>
        <w:t>rendre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indépendantes</w:t>
      </w:r>
      <w:proofErr w:type="spellEnd"/>
      <w:r w:rsidRPr="006F4C48">
        <w:rPr>
          <w:rFonts w:ascii="Alegreya" w:eastAsia="Times New Roman" w:hAnsi="Alegreya" w:cs="Times New Roman"/>
          <w:color w:val="C45911" w:themeColor="accent2" w:themeShade="BF"/>
          <w:sz w:val="26"/>
          <w:szCs w:val="26"/>
          <w:lang w:val="en-US" w:eastAsia="en-US"/>
        </w:rPr>
        <w:t xml:space="preserve"> de </w:t>
      </w:r>
      <w:proofErr w:type="spellStart"/>
      <w:r w:rsidRPr="006F4C48">
        <w:rPr>
          <w:rFonts w:ascii="Alegreya" w:eastAsia="Times New Roman" w:hAnsi="Alegreya" w:cs="Times New Roman"/>
          <w:color w:val="C45911" w:themeColor="accent2" w:themeShade="BF"/>
          <w:sz w:val="26"/>
          <w:szCs w:val="26"/>
          <w:lang w:val="en-US" w:eastAsia="en-US"/>
        </w:rPr>
        <w:t>l’échelle</w:t>
      </w:r>
      <w:proofErr w:type="spellEnd"/>
      <w:r w:rsidRPr="006F4C48">
        <w:rPr>
          <w:rFonts w:ascii="Alegreya" w:eastAsia="Times New Roman" w:hAnsi="Alegreya" w:cs="Times New Roman"/>
          <w:color w:val="C45911" w:themeColor="accent2" w:themeShade="BF"/>
          <w:sz w:val="26"/>
          <w:szCs w:val="26"/>
          <w:lang w:val="en-US" w:eastAsia="en-US"/>
        </w:rPr>
        <w:t xml:space="preserve"> des </w:t>
      </w:r>
      <w:proofErr w:type="spellStart"/>
      <w:r w:rsidRPr="006F4C48">
        <w:rPr>
          <w:rFonts w:ascii="Alegreya" w:eastAsia="Times New Roman" w:hAnsi="Alegreya" w:cs="Times New Roman"/>
          <w:color w:val="C45911" w:themeColor="accent2" w:themeShade="BF"/>
          <w:sz w:val="26"/>
          <w:szCs w:val="26"/>
          <w:lang w:val="en-US" w:eastAsia="en-US"/>
        </w:rPr>
        <w:t>revenus</w:t>
      </w:r>
      <w:proofErr w:type="spellEnd"/>
      <w:r w:rsidRPr="006F4C48">
        <w:rPr>
          <w:rFonts w:ascii="Alegreya" w:eastAsia="Times New Roman" w:hAnsi="Alegreya" w:cs="Times New Roman"/>
          <w:color w:val="C45911" w:themeColor="accent2" w:themeShade="BF"/>
          <w:sz w:val="26"/>
          <w:szCs w:val="26"/>
          <w:lang w:val="en-US" w:eastAsia="en-US"/>
        </w:rPr>
        <w:t> ;</w:t>
      </w:r>
    </w:p>
    <w:p w14:paraId="01416DCF" w14:textId="77777777" w:rsidR="006F4C48" w:rsidRPr="006F4C48" w:rsidRDefault="006F4C48" w:rsidP="006F4C48">
      <w:pPr>
        <w:numPr>
          <w:ilvl w:val="0"/>
          <w:numId w:val="1"/>
        </w:numPr>
        <w:spacing w:after="0" w:line="405" w:lineRule="atLeast"/>
        <w:ind w:left="269"/>
        <w:rPr>
          <w:rFonts w:ascii="Alegreya" w:eastAsia="Times New Roman" w:hAnsi="Alegreya" w:cs="Times New Roman"/>
          <w:color w:val="C45911" w:themeColor="accent2" w:themeShade="BF"/>
          <w:sz w:val="26"/>
          <w:szCs w:val="26"/>
          <w:lang w:val="en-US" w:eastAsia="en-US"/>
        </w:rPr>
      </w:pPr>
      <w:r w:rsidRPr="006F4C48">
        <w:rPr>
          <w:rFonts w:ascii="Alegreya" w:eastAsia="Times New Roman" w:hAnsi="Alegreya" w:cs="Times New Roman"/>
          <w:color w:val="C45911" w:themeColor="accent2" w:themeShade="BF"/>
          <w:sz w:val="26"/>
          <w:szCs w:val="26"/>
          <w:lang w:val="en-US" w:eastAsia="en-US"/>
        </w:rPr>
        <w:t>la « </w:t>
      </w:r>
      <w:proofErr w:type="spellStart"/>
      <w:r w:rsidRPr="006F4C48">
        <w:rPr>
          <w:rFonts w:ascii="Alegreya" w:eastAsia="Times New Roman" w:hAnsi="Alegreya" w:cs="Times New Roman"/>
          <w:color w:val="C45911" w:themeColor="accent2" w:themeShade="BF"/>
          <w:sz w:val="26"/>
          <w:szCs w:val="26"/>
          <w:lang w:val="en-US" w:eastAsia="en-US"/>
        </w:rPr>
        <w:t>croissance</w:t>
      </w:r>
      <w:proofErr w:type="spellEnd"/>
      <w:r w:rsidRPr="006F4C48">
        <w:rPr>
          <w:rFonts w:ascii="Alegreya" w:eastAsia="Times New Roman" w:hAnsi="Alegreya" w:cs="Times New Roman"/>
          <w:color w:val="C45911" w:themeColor="accent2" w:themeShade="BF"/>
          <w:sz w:val="26"/>
          <w:szCs w:val="26"/>
          <w:lang w:val="en-US" w:eastAsia="en-US"/>
        </w:rPr>
        <w:t xml:space="preserve"> » </w:t>
      </w:r>
      <w:proofErr w:type="spellStart"/>
      <w:r w:rsidRPr="006F4C48">
        <w:rPr>
          <w:rFonts w:ascii="Alegreya" w:eastAsia="Times New Roman" w:hAnsi="Alegreya" w:cs="Times New Roman"/>
          <w:color w:val="C45911" w:themeColor="accent2" w:themeShade="BF"/>
          <w:sz w:val="26"/>
          <w:szCs w:val="26"/>
          <w:lang w:val="en-US" w:eastAsia="en-US"/>
        </w:rPr>
        <w:t>est</w:t>
      </w:r>
      <w:proofErr w:type="spellEnd"/>
      <w:r w:rsidRPr="006F4C48">
        <w:rPr>
          <w:rFonts w:ascii="Alegreya" w:eastAsia="Times New Roman" w:hAnsi="Alegreya" w:cs="Times New Roman"/>
          <w:color w:val="C45911" w:themeColor="accent2" w:themeShade="BF"/>
          <w:sz w:val="26"/>
          <w:szCs w:val="26"/>
          <w:lang w:val="en-US" w:eastAsia="en-US"/>
        </w:rPr>
        <w:t xml:space="preserve"> le </w:t>
      </w:r>
      <w:proofErr w:type="spellStart"/>
      <w:r w:rsidRPr="006F4C48">
        <w:rPr>
          <w:rFonts w:ascii="Alegreya" w:eastAsia="Times New Roman" w:hAnsi="Alegreya" w:cs="Times New Roman"/>
          <w:color w:val="C45911" w:themeColor="accent2" w:themeShade="BF"/>
          <w:sz w:val="26"/>
          <w:szCs w:val="26"/>
          <w:lang w:val="en-US" w:eastAsia="en-US"/>
        </w:rPr>
        <w:t>changement</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exprimé</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en</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pourcentage</w:t>
      </w:r>
      <w:proofErr w:type="spellEnd"/>
      <w:r w:rsidRPr="006F4C48">
        <w:rPr>
          <w:rFonts w:ascii="Alegreya" w:eastAsia="Times New Roman" w:hAnsi="Alegreya" w:cs="Times New Roman"/>
          <w:color w:val="C45911" w:themeColor="accent2" w:themeShade="BF"/>
          <w:sz w:val="26"/>
          <w:szCs w:val="26"/>
          <w:lang w:val="en-US" w:eastAsia="en-US"/>
        </w:rPr>
        <w:t xml:space="preserve">, du </w:t>
      </w:r>
      <w:proofErr w:type="spellStart"/>
      <w:r w:rsidRPr="006F4C48">
        <w:rPr>
          <w:rFonts w:ascii="Alegreya" w:eastAsia="Times New Roman" w:hAnsi="Alegreya" w:cs="Times New Roman"/>
          <w:color w:val="C45911" w:themeColor="accent2" w:themeShade="BF"/>
          <w:sz w:val="26"/>
          <w:szCs w:val="26"/>
          <w:lang w:val="en-US" w:eastAsia="en-US"/>
        </w:rPr>
        <w:t>niveau</w:t>
      </w:r>
      <w:proofErr w:type="spellEnd"/>
      <w:r w:rsidRPr="006F4C48">
        <w:rPr>
          <w:rFonts w:ascii="Alegreya" w:eastAsia="Times New Roman" w:hAnsi="Alegreya" w:cs="Times New Roman"/>
          <w:color w:val="C45911" w:themeColor="accent2" w:themeShade="BF"/>
          <w:sz w:val="26"/>
          <w:szCs w:val="26"/>
          <w:lang w:val="en-US" w:eastAsia="en-US"/>
        </w:rPr>
        <w:t xml:space="preserve"> de </w:t>
      </w:r>
      <w:proofErr w:type="spellStart"/>
      <w:r w:rsidRPr="006F4C48">
        <w:rPr>
          <w:rFonts w:ascii="Alegreya" w:eastAsia="Times New Roman" w:hAnsi="Alegreya" w:cs="Times New Roman"/>
          <w:color w:val="C45911" w:themeColor="accent2" w:themeShade="BF"/>
          <w:sz w:val="26"/>
          <w:szCs w:val="26"/>
          <w:lang w:val="en-US" w:eastAsia="en-US"/>
        </w:rPr>
        <w:t>bien-être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moyen</w:t>
      </w:r>
      <w:proofErr w:type="spellEnd"/>
      <w:r w:rsidRPr="006F4C48">
        <w:rPr>
          <w:rFonts w:ascii="Alegreya" w:eastAsia="Times New Roman" w:hAnsi="Alegreya" w:cs="Times New Roman"/>
          <w:color w:val="C45911" w:themeColor="accent2" w:themeShade="BF"/>
          <w:sz w:val="26"/>
          <w:szCs w:val="26"/>
          <w:lang w:val="en-US" w:eastAsia="en-US"/>
        </w:rPr>
        <w:t xml:space="preserve"> (par </w:t>
      </w:r>
      <w:proofErr w:type="spellStart"/>
      <w:r w:rsidRPr="006F4C48">
        <w:rPr>
          <w:rFonts w:ascii="Alegreya" w:eastAsia="Times New Roman" w:hAnsi="Alegreya" w:cs="Times New Roman"/>
          <w:color w:val="C45911" w:themeColor="accent2" w:themeShade="BF"/>
          <w:sz w:val="26"/>
          <w:szCs w:val="26"/>
          <w:lang w:val="en-US" w:eastAsia="en-US"/>
        </w:rPr>
        <w:t>exemple</w:t>
      </w:r>
      <w:proofErr w:type="spellEnd"/>
      <w:r w:rsidRPr="006F4C48">
        <w:rPr>
          <w:rFonts w:ascii="Alegreya" w:eastAsia="Times New Roman" w:hAnsi="Alegreya" w:cs="Times New Roman"/>
          <w:color w:val="C45911" w:themeColor="accent2" w:themeShade="BF"/>
          <w:sz w:val="26"/>
          <w:szCs w:val="26"/>
          <w:lang w:val="en-US" w:eastAsia="en-US"/>
        </w:rPr>
        <w:t xml:space="preserve">, le </w:t>
      </w:r>
      <w:proofErr w:type="spellStart"/>
      <w:r w:rsidRPr="006F4C48">
        <w:rPr>
          <w:rFonts w:ascii="Alegreya" w:eastAsia="Times New Roman" w:hAnsi="Alegreya" w:cs="Times New Roman"/>
          <w:color w:val="C45911" w:themeColor="accent2" w:themeShade="BF"/>
          <w:sz w:val="26"/>
          <w:szCs w:val="26"/>
          <w:lang w:val="en-US" w:eastAsia="en-US"/>
        </w:rPr>
        <w:t>revenu</w:t>
      </w:r>
      <w:proofErr w:type="spellEnd"/>
      <w:r w:rsidRPr="006F4C48">
        <w:rPr>
          <w:rFonts w:ascii="Alegreya" w:eastAsia="Times New Roman" w:hAnsi="Alegreya" w:cs="Times New Roman"/>
          <w:color w:val="C45911" w:themeColor="accent2" w:themeShade="BF"/>
          <w:sz w:val="26"/>
          <w:szCs w:val="26"/>
          <w:lang w:val="en-US" w:eastAsia="en-US"/>
        </w:rPr>
        <w:t xml:space="preserve">) qui </w:t>
      </w:r>
      <w:proofErr w:type="spellStart"/>
      <w:r w:rsidRPr="006F4C48">
        <w:rPr>
          <w:rFonts w:ascii="Alegreya" w:eastAsia="Times New Roman" w:hAnsi="Alegreya" w:cs="Times New Roman"/>
          <w:color w:val="C45911" w:themeColor="accent2" w:themeShade="BF"/>
          <w:sz w:val="26"/>
          <w:szCs w:val="26"/>
          <w:lang w:val="en-US" w:eastAsia="en-US"/>
        </w:rPr>
        <w:t>apparaît</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dans</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l’enquête</w:t>
      </w:r>
      <w:proofErr w:type="spellEnd"/>
      <w:r w:rsidRPr="006F4C48">
        <w:rPr>
          <w:rFonts w:ascii="Alegreya" w:eastAsia="Times New Roman" w:hAnsi="Alegreya" w:cs="Times New Roman"/>
          <w:color w:val="C45911" w:themeColor="accent2" w:themeShade="BF"/>
          <w:sz w:val="26"/>
          <w:szCs w:val="26"/>
          <w:lang w:val="en-US" w:eastAsia="en-US"/>
        </w:rPr>
        <w:t xml:space="preserve"> </w:t>
      </w:r>
      <w:proofErr w:type="spellStart"/>
      <w:r w:rsidRPr="006F4C48">
        <w:rPr>
          <w:rFonts w:ascii="Alegreya" w:eastAsia="Times New Roman" w:hAnsi="Alegreya" w:cs="Times New Roman"/>
          <w:color w:val="C45911" w:themeColor="accent2" w:themeShade="BF"/>
          <w:sz w:val="26"/>
          <w:szCs w:val="26"/>
          <w:lang w:val="en-US" w:eastAsia="en-US"/>
        </w:rPr>
        <w:t>auprès</w:t>
      </w:r>
      <w:proofErr w:type="spellEnd"/>
      <w:r w:rsidRPr="006F4C48">
        <w:rPr>
          <w:rFonts w:ascii="Alegreya" w:eastAsia="Times New Roman" w:hAnsi="Alegreya" w:cs="Times New Roman"/>
          <w:color w:val="C45911" w:themeColor="accent2" w:themeShade="BF"/>
          <w:sz w:val="26"/>
          <w:szCs w:val="26"/>
          <w:lang w:val="en-US" w:eastAsia="en-US"/>
        </w:rPr>
        <w:t xml:space="preserve"> des ménages.</w:t>
      </w:r>
      <w:r w:rsidRPr="006F4C48">
        <w:rPr>
          <w:rFonts w:ascii="Alegreya" w:hAnsi="Alegreya"/>
          <w:color w:val="1F1F1F"/>
          <w:sz w:val="26"/>
          <w:szCs w:val="26"/>
        </w:rPr>
        <w:t xml:space="preserve"> </w:t>
      </w:r>
    </w:p>
    <w:p w14:paraId="5D72586C" w14:textId="24F7C089" w:rsidR="006F4C48" w:rsidRDefault="006F4C48" w:rsidP="006F4C48">
      <w:pPr>
        <w:spacing w:after="0" w:line="405" w:lineRule="atLeast"/>
        <w:rPr>
          <w:rFonts w:ascii="Alegreya" w:hAnsi="Alegreya"/>
          <w:color w:val="C45911" w:themeColor="accent2" w:themeShade="BF"/>
          <w:sz w:val="26"/>
          <w:szCs w:val="26"/>
        </w:rPr>
      </w:pPr>
      <w:proofErr w:type="spellStart"/>
      <w:r w:rsidRPr="006F4C48">
        <w:rPr>
          <w:rFonts w:ascii="Alegreya" w:hAnsi="Alegreya"/>
          <w:color w:val="000000" w:themeColor="text1"/>
          <w:sz w:val="26"/>
          <w:szCs w:val="26"/>
        </w:rPr>
        <w:t>II.</w:t>
      </w:r>
      <w:r w:rsidRPr="006F4C48">
        <w:rPr>
          <w:rFonts w:ascii="Alegreya" w:hAnsi="Alegreya"/>
          <w:color w:val="C45911" w:themeColor="accent2" w:themeShade="BF"/>
          <w:sz w:val="26"/>
          <w:szCs w:val="26"/>
        </w:rPr>
        <w:t>Dans</w:t>
      </w:r>
      <w:proofErr w:type="spellEnd"/>
      <w:r w:rsidRPr="006F4C48">
        <w:rPr>
          <w:rFonts w:ascii="Alegreya" w:hAnsi="Alegreya"/>
          <w:color w:val="C45911" w:themeColor="accent2" w:themeShade="BF"/>
          <w:sz w:val="26"/>
          <w:szCs w:val="26"/>
        </w:rPr>
        <w:t xml:space="preserve"> ce cas, la redistribution des riches aux pauvres engendre davantage d’investissements et/ou un taux supérieur de rentabilité du capital.</w:t>
      </w:r>
    </w:p>
    <w:p w14:paraId="4FA20E93" w14:textId="3B0E80BC" w:rsidR="006F4C48" w:rsidRPr="006F4C48" w:rsidRDefault="006F4C48" w:rsidP="006F4C48">
      <w:pPr>
        <w:spacing w:after="0" w:line="405" w:lineRule="atLeast"/>
        <w:rPr>
          <w:rFonts w:ascii="Alegreya" w:hAnsi="Alegreya"/>
          <w:color w:val="C45911" w:themeColor="accent2" w:themeShade="BF"/>
          <w:sz w:val="26"/>
          <w:szCs w:val="26"/>
        </w:rPr>
      </w:pPr>
      <w:r w:rsidRPr="006F4C48">
        <w:rPr>
          <w:rFonts w:ascii="Alegreya" w:hAnsi="Alegreya"/>
          <w:color w:val="C45911" w:themeColor="accent2" w:themeShade="BF"/>
          <w:sz w:val="26"/>
          <w:szCs w:val="26"/>
        </w:rPr>
        <w:t>Cet argument adapté de Piketty (1997) s’applique à plusieurs situations, sachant que le non-accès des pauvres à l’emprunt (manque de garanties collatérales ou imperfections du marché du crédit) et leur faible niveau initial de richesse les empêchent de saisir des occasions d’investissement qui seraient plus profitables à la société et à eux-mêmes que d’autres investissements réalisés ailleurs.</w:t>
      </w:r>
    </w:p>
    <w:p w14:paraId="69461E57" w14:textId="54A6FAFE" w:rsidR="006F4C48" w:rsidRPr="006F4C48" w:rsidRDefault="006F4C48" w:rsidP="006F4C48">
      <w:pPr>
        <w:spacing w:after="0" w:line="405" w:lineRule="atLeast"/>
        <w:rPr>
          <w:rFonts w:ascii="Alegreya" w:eastAsia="Times New Roman" w:hAnsi="Alegreya" w:cs="Times New Roman"/>
          <w:color w:val="C45911" w:themeColor="accent2" w:themeShade="BF"/>
          <w:sz w:val="26"/>
          <w:szCs w:val="26"/>
          <w:lang w:val="en-US" w:eastAsia="en-US"/>
        </w:rPr>
      </w:pPr>
      <w:r w:rsidRPr="006F4C48">
        <w:rPr>
          <w:rFonts w:ascii="Alegreya" w:hAnsi="Alegreya"/>
          <w:color w:val="C45911" w:themeColor="accent2" w:themeShade="BF"/>
          <w:sz w:val="26"/>
          <w:szCs w:val="26"/>
        </w:rPr>
        <w:t>Les pays caractérisés par un indice numérique de pauvreté élevé ou une distribution inégale des richesses sous-utilisent donc leur potentiel de croissance davantage que les pays comptant moins de pauvres ou caractérisés par une distribution plus équitable.</w:t>
      </w:r>
    </w:p>
    <w:p w14:paraId="0548DD5E" w14:textId="7D799AC0" w:rsidR="0021066D" w:rsidRDefault="0021066D">
      <w:pPr>
        <w:rPr>
          <w:color w:val="C45911" w:themeColor="accent2" w:themeShade="BF"/>
        </w:rPr>
      </w:pPr>
    </w:p>
    <w:p w14:paraId="374DB230" w14:textId="77777777" w:rsidR="0021066D" w:rsidRDefault="0021066D">
      <w:pPr>
        <w:rPr>
          <w:rFonts w:ascii="Arial" w:hAnsi="Arial" w:cs="Arial"/>
          <w:color w:val="545454"/>
          <w:shd w:val="clear" w:color="auto" w:fill="FFFFFF"/>
        </w:rPr>
      </w:pPr>
      <w:r>
        <w:rPr>
          <w:rFonts w:ascii="Arial" w:hAnsi="Arial" w:cs="Arial"/>
          <w:color w:val="545454"/>
          <w:shd w:val="clear" w:color="auto" w:fill="FFFFFF"/>
        </w:rPr>
        <w:br w:type="page"/>
      </w:r>
    </w:p>
    <w:p w14:paraId="5D5202C3" w14:textId="5FFE3BEC" w:rsidR="0021066D" w:rsidRDefault="0021066D">
      <w:pPr>
        <w:rPr>
          <w:rFonts w:ascii="Arial" w:hAnsi="Arial" w:cs="Arial"/>
          <w:color w:val="545454"/>
          <w:shd w:val="clear" w:color="auto" w:fill="FFFFFF"/>
        </w:rPr>
      </w:pPr>
      <w:r>
        <w:rPr>
          <w:rFonts w:ascii="Arial" w:hAnsi="Arial" w:cs="Arial"/>
          <w:color w:val="545454"/>
          <w:shd w:val="clear" w:color="auto" w:fill="FFFFFF"/>
        </w:rPr>
        <w:lastRenderedPageBreak/>
        <w:t>Elasticité de la pauvreté par rapport à la croissance</w:t>
      </w:r>
    </w:p>
    <w:p w14:paraId="3F06686A" w14:textId="3D32B4E1" w:rsidR="006F4C48" w:rsidRPr="006F4C48" w:rsidRDefault="006F4C48">
      <w:pPr>
        <w:rPr>
          <w:color w:val="C45911" w:themeColor="accent2" w:themeShade="BF"/>
        </w:rPr>
      </w:pPr>
      <w:r>
        <w:rPr>
          <w:rFonts w:ascii="Arial" w:hAnsi="Arial" w:cs="Arial"/>
          <w:color w:val="545454"/>
          <w:shd w:val="clear" w:color="auto" w:fill="FFFFFF"/>
        </w:rPr>
        <w:t>Elle mesure la modification de la</w:t>
      </w:r>
      <w:r>
        <w:rPr>
          <w:rStyle w:val="apple-converted-space"/>
          <w:rFonts w:ascii="Arial" w:hAnsi="Arial" w:cs="Arial"/>
          <w:color w:val="545454"/>
          <w:shd w:val="clear" w:color="auto" w:fill="FFFFFF"/>
        </w:rPr>
        <w:t> </w:t>
      </w:r>
      <w:r>
        <w:rPr>
          <w:rStyle w:val="Accentuation"/>
          <w:rFonts w:ascii="Arial" w:hAnsi="Arial" w:cs="Arial"/>
          <w:b/>
          <w:bCs/>
          <w:i w:val="0"/>
          <w:iCs w:val="0"/>
          <w:color w:val="6A6A6A"/>
          <w:shd w:val="clear" w:color="auto" w:fill="FFFFFF"/>
        </w:rPr>
        <w:t>pauvreté</w:t>
      </w:r>
      <w:r>
        <w:rPr>
          <w:rFonts w:ascii="Arial" w:hAnsi="Arial" w:cs="Arial"/>
          <w:color w:val="545454"/>
          <w:shd w:val="clear" w:color="auto" w:fill="FFFFFF"/>
        </w:rPr>
        <w:t>, suite à une variation de la</w:t>
      </w:r>
      <w:r>
        <w:rPr>
          <w:rStyle w:val="apple-converted-space"/>
          <w:rFonts w:ascii="Arial" w:hAnsi="Arial" w:cs="Arial"/>
          <w:color w:val="545454"/>
          <w:shd w:val="clear" w:color="auto" w:fill="FFFFFF"/>
        </w:rPr>
        <w:t> </w:t>
      </w:r>
      <w:r>
        <w:rPr>
          <w:rStyle w:val="Accentuation"/>
          <w:rFonts w:ascii="Arial" w:hAnsi="Arial" w:cs="Arial"/>
          <w:b/>
          <w:bCs/>
          <w:i w:val="0"/>
          <w:iCs w:val="0"/>
          <w:color w:val="6A6A6A"/>
          <w:shd w:val="clear" w:color="auto" w:fill="FFFFFF"/>
        </w:rPr>
        <w:t>croissance</w:t>
      </w:r>
      <w:r>
        <w:rPr>
          <w:rFonts w:ascii="Arial" w:hAnsi="Arial" w:cs="Arial"/>
          <w:color w:val="545454"/>
          <w:shd w:val="clear" w:color="auto" w:fill="FFFFFF"/>
        </w:rPr>
        <w:t>. Cette</w:t>
      </w:r>
      <w:r>
        <w:rPr>
          <w:rStyle w:val="apple-converted-space"/>
          <w:rFonts w:ascii="Arial" w:hAnsi="Arial" w:cs="Arial"/>
          <w:color w:val="545454"/>
          <w:shd w:val="clear" w:color="auto" w:fill="FFFFFF"/>
        </w:rPr>
        <w:t> </w:t>
      </w:r>
      <w:proofErr w:type="spellStart"/>
      <w:r>
        <w:rPr>
          <w:rStyle w:val="Accentuation"/>
          <w:rFonts w:ascii="Arial" w:hAnsi="Arial" w:cs="Arial"/>
          <w:b/>
          <w:bCs/>
          <w:i w:val="0"/>
          <w:iCs w:val="0"/>
          <w:color w:val="6A6A6A"/>
          <w:shd w:val="clear" w:color="auto" w:fill="FFFFFF"/>
        </w:rPr>
        <w:t>élasticité</w:t>
      </w:r>
      <w:r>
        <w:rPr>
          <w:rFonts w:ascii="Arial" w:hAnsi="Arial" w:cs="Arial"/>
          <w:color w:val="545454"/>
          <w:shd w:val="clear" w:color="auto" w:fill="FFFFFF"/>
        </w:rPr>
        <w:t>mesure</w:t>
      </w:r>
      <w:proofErr w:type="spellEnd"/>
      <w:r>
        <w:rPr>
          <w:rFonts w:ascii="Arial" w:hAnsi="Arial" w:cs="Arial"/>
          <w:color w:val="545454"/>
          <w:shd w:val="clear" w:color="auto" w:fill="FFFFFF"/>
        </w:rPr>
        <w:t xml:space="preserve"> l'</w:t>
      </w:r>
      <w:proofErr w:type="spellStart"/>
      <w:r>
        <w:rPr>
          <w:rFonts w:ascii="Arial" w:hAnsi="Arial" w:cs="Arial"/>
          <w:color w:val="545454"/>
          <w:shd w:val="clear" w:color="auto" w:fill="FFFFFF"/>
        </w:rPr>
        <w:t>impacte</w:t>
      </w:r>
      <w:proofErr w:type="spellEnd"/>
      <w:r>
        <w:rPr>
          <w:rFonts w:ascii="Arial" w:hAnsi="Arial" w:cs="Arial"/>
          <w:color w:val="545454"/>
          <w:shd w:val="clear" w:color="auto" w:fill="FFFFFF"/>
        </w:rPr>
        <w:t xml:space="preserve"> de la</w:t>
      </w:r>
      <w:r>
        <w:rPr>
          <w:rStyle w:val="apple-converted-space"/>
          <w:rFonts w:ascii="Arial" w:hAnsi="Arial" w:cs="Arial"/>
          <w:color w:val="545454"/>
          <w:shd w:val="clear" w:color="auto" w:fill="FFFFFF"/>
        </w:rPr>
        <w:t> </w:t>
      </w:r>
      <w:r>
        <w:rPr>
          <w:rStyle w:val="Accentuation"/>
          <w:rFonts w:ascii="Arial" w:hAnsi="Arial" w:cs="Arial"/>
          <w:b/>
          <w:bCs/>
          <w:i w:val="0"/>
          <w:iCs w:val="0"/>
          <w:color w:val="6A6A6A"/>
          <w:shd w:val="clear" w:color="auto" w:fill="FFFFFF"/>
        </w:rPr>
        <w:t>croissance</w:t>
      </w:r>
      <w:r>
        <w:rPr>
          <w:rStyle w:val="apple-converted-space"/>
          <w:rFonts w:ascii="Arial" w:hAnsi="Arial" w:cs="Arial"/>
          <w:color w:val="545454"/>
          <w:shd w:val="clear" w:color="auto" w:fill="FFFFFF"/>
        </w:rPr>
        <w:t> </w:t>
      </w:r>
      <w:r>
        <w:rPr>
          <w:rFonts w:ascii="Arial" w:hAnsi="Arial" w:cs="Arial"/>
          <w:color w:val="545454"/>
          <w:shd w:val="clear" w:color="auto" w:fill="FFFFFF"/>
        </w:rPr>
        <w:t>sur la</w:t>
      </w:r>
      <w:r>
        <w:rPr>
          <w:rStyle w:val="apple-converted-space"/>
          <w:rFonts w:ascii="Arial" w:hAnsi="Arial" w:cs="Arial"/>
          <w:color w:val="545454"/>
          <w:shd w:val="clear" w:color="auto" w:fill="FFFFFF"/>
        </w:rPr>
        <w:t> </w:t>
      </w:r>
      <w:r>
        <w:rPr>
          <w:rStyle w:val="Accentuation"/>
          <w:rFonts w:ascii="Arial" w:hAnsi="Arial" w:cs="Arial"/>
          <w:b/>
          <w:bCs/>
          <w:i w:val="0"/>
          <w:iCs w:val="0"/>
          <w:color w:val="6A6A6A"/>
          <w:shd w:val="clear" w:color="auto" w:fill="FFFFFF"/>
        </w:rPr>
        <w:t>pauvreté</w:t>
      </w:r>
      <w:r>
        <w:rPr>
          <w:rStyle w:val="apple-converted-space"/>
          <w:rFonts w:ascii="Arial" w:hAnsi="Arial" w:cs="Arial"/>
          <w:color w:val="545454"/>
          <w:shd w:val="clear" w:color="auto" w:fill="FFFFFF"/>
        </w:rPr>
        <w:t> </w:t>
      </w:r>
      <w:r>
        <w:rPr>
          <w:rFonts w:ascii="Arial" w:hAnsi="Arial" w:cs="Arial"/>
          <w:color w:val="545454"/>
          <w:shd w:val="clear" w:color="auto" w:fill="FFFFFF"/>
        </w:rPr>
        <w:t>monétaire</w:t>
      </w:r>
    </w:p>
    <w:p w14:paraId="390E3B80" w14:textId="77777777" w:rsidR="0021066D" w:rsidRDefault="0021066D"/>
    <w:p w14:paraId="08D91F98" w14:textId="2364758C" w:rsidR="0021066D" w:rsidRDefault="0021066D">
      <w:r>
        <w:rPr>
          <w:rFonts w:ascii="Verdana" w:hAnsi="Verdana"/>
          <w:color w:val="505050"/>
          <w:sz w:val="19"/>
          <w:szCs w:val="19"/>
          <w:shd w:val="clear" w:color="auto" w:fill="FFFFFF"/>
        </w:rPr>
        <w:t>Un pays membre peut solliciter une aide financière au FMI, s’il constate un besoin de balance des paiements — réel ou potentiel —, c’est-à-dire dans les cas où il ne peut pas obtenir de financements suffisants à des conditions abordables pour régler ses paiements internationaux (par exemple, importations ou remboursements de dette extérieure) tout en maintenant des volants adéquats de réserves. Un prêt du FMI constitue un volant de ressources qui facilite les politiques d’ajustement et de réforme qu’un pays doit mettre en œuvre pour corriger ses déséquilibres de paiements et restaurer les conditions d’une croissance économique durable.</w:t>
      </w:r>
    </w:p>
    <w:p w14:paraId="2960C08F" w14:textId="7FC7F188" w:rsidR="00665F66" w:rsidRDefault="00665F66">
      <w:pPr>
        <w:rPr>
          <w:rFonts w:ascii="Arial" w:hAnsi="Arial" w:cs="Arial"/>
          <w:color w:val="222222"/>
          <w:shd w:val="clear" w:color="auto" w:fill="FFFFFF"/>
        </w:rPr>
      </w:pPr>
    </w:p>
    <w:p w14:paraId="3489E877" w14:textId="54823F4C" w:rsidR="00665F66" w:rsidRDefault="00665F66">
      <w:pPr>
        <w:rPr>
          <w:rFonts w:ascii="Arial" w:hAnsi="Arial" w:cs="Arial"/>
          <w:color w:val="222222"/>
          <w:shd w:val="clear" w:color="auto" w:fill="FFFFFF"/>
        </w:rPr>
      </w:pPr>
      <w:r>
        <w:rPr>
          <w:rFonts w:ascii="Verdana" w:hAnsi="Verdana"/>
          <w:color w:val="505050"/>
          <w:sz w:val="19"/>
          <w:szCs w:val="19"/>
          <w:shd w:val="clear" w:color="auto" w:fill="FFFFFF"/>
        </w:rPr>
        <w:t>Les</w:t>
      </w:r>
      <w:r>
        <w:rPr>
          <w:rStyle w:val="apple-converted-space"/>
          <w:rFonts w:ascii="Verdana" w:hAnsi="Verdana"/>
          <w:color w:val="505050"/>
          <w:sz w:val="19"/>
          <w:szCs w:val="19"/>
          <w:shd w:val="clear" w:color="auto" w:fill="FFFFFF"/>
        </w:rPr>
        <w:t> </w:t>
      </w:r>
      <w:hyperlink r:id="rId11" w:history="1">
        <w:r>
          <w:rPr>
            <w:rStyle w:val="Lienhypertexte"/>
            <w:rFonts w:ascii="Verdana" w:hAnsi="Verdana"/>
            <w:b/>
            <w:bCs/>
            <w:color w:val="D86A22"/>
            <w:sz w:val="19"/>
            <w:szCs w:val="19"/>
            <w:shd w:val="clear" w:color="auto" w:fill="FFFFFF"/>
          </w:rPr>
          <w:t>nouveaux mécanismes de prêt concessionnel en faveur des pays à faible revenu</w:t>
        </w:r>
      </w:hyperlink>
      <w:r>
        <w:rPr>
          <w:rStyle w:val="apple-converted-space"/>
          <w:rFonts w:ascii="Verdana" w:hAnsi="Verdana"/>
          <w:color w:val="505050"/>
          <w:sz w:val="19"/>
          <w:szCs w:val="19"/>
          <w:shd w:val="clear" w:color="auto" w:fill="FFFFFF"/>
        </w:rPr>
        <w:t> </w:t>
      </w:r>
      <w:r>
        <w:rPr>
          <w:rFonts w:ascii="Verdana" w:hAnsi="Verdana"/>
          <w:color w:val="505050"/>
          <w:sz w:val="19"/>
          <w:szCs w:val="19"/>
          <w:shd w:val="clear" w:color="auto" w:fill="FFFFFF"/>
        </w:rPr>
        <w:t>sont entrés en vigueur en janvier 2010 au titre du fonds de fiducie pour la réduction de la pauvreté et pour la croissance dans le cadre d’une réforme plus vaste visant à assouplir et à mieux adapter l’aide financière du FMI aux besoins divers des pays à faible revenu</w:t>
      </w:r>
      <w:r w:rsidR="00946FC4">
        <w:rPr>
          <w:rFonts w:ascii="Verdana" w:hAnsi="Verdana"/>
          <w:color w:val="505050"/>
          <w:sz w:val="19"/>
          <w:szCs w:val="19"/>
          <w:shd w:val="clear" w:color="auto" w:fill="FFFFFF"/>
        </w:rPr>
        <w:t>.</w:t>
      </w:r>
      <w:r w:rsidR="00946FC4" w:rsidRPr="00946FC4">
        <w:rPr>
          <w:rFonts w:ascii="Verdana" w:hAnsi="Verdana"/>
          <w:color w:val="505050"/>
          <w:sz w:val="19"/>
          <w:szCs w:val="19"/>
          <w:shd w:val="clear" w:color="auto" w:fill="FFFFFF"/>
        </w:rPr>
        <w:t xml:space="preserve"> </w:t>
      </w:r>
      <w:r w:rsidR="00946FC4">
        <w:rPr>
          <w:rFonts w:ascii="Verdana" w:hAnsi="Verdana"/>
          <w:color w:val="505050"/>
          <w:sz w:val="19"/>
          <w:szCs w:val="19"/>
          <w:shd w:val="clear" w:color="auto" w:fill="FFFFFF"/>
        </w:rPr>
        <w:t>Tous les mécanismes soutiennent des programmes pris en charge par les pays qui visent à atteindre une position macroéconomique durable et compatible avec une croissance et une réduction de la pauvreté vigoureuses et durables. La</w:t>
      </w:r>
      <w:r w:rsidR="00946FC4">
        <w:rPr>
          <w:rStyle w:val="apple-converted-space"/>
          <w:rFonts w:ascii="Verdana" w:hAnsi="Verdana"/>
          <w:color w:val="505050"/>
          <w:sz w:val="19"/>
          <w:szCs w:val="19"/>
          <w:shd w:val="clear" w:color="auto" w:fill="FFFFFF"/>
        </w:rPr>
        <w:t> </w:t>
      </w:r>
      <w:hyperlink r:id="rId12" w:history="1">
        <w:r w:rsidR="00946FC4">
          <w:rPr>
            <w:rStyle w:val="Lienhypertexte"/>
            <w:rFonts w:ascii="Verdana" w:hAnsi="Verdana"/>
            <w:b/>
            <w:bCs/>
            <w:color w:val="D86A22"/>
            <w:sz w:val="19"/>
            <w:szCs w:val="19"/>
            <w:shd w:val="clear" w:color="auto" w:fill="FFFFFF"/>
          </w:rPr>
          <w:t>facilité élargie de crédit (FEC)</w:t>
        </w:r>
      </w:hyperlink>
      <w:r w:rsidR="00946FC4">
        <w:rPr>
          <w:rStyle w:val="apple-converted-space"/>
          <w:rFonts w:ascii="Verdana" w:hAnsi="Verdana"/>
          <w:color w:val="505050"/>
          <w:sz w:val="19"/>
          <w:szCs w:val="19"/>
          <w:shd w:val="clear" w:color="auto" w:fill="FFFFFF"/>
        </w:rPr>
        <w:t> </w:t>
      </w:r>
      <w:r w:rsidR="00946FC4">
        <w:rPr>
          <w:rFonts w:ascii="Verdana" w:hAnsi="Verdana"/>
          <w:color w:val="505050"/>
          <w:sz w:val="19"/>
          <w:szCs w:val="19"/>
          <w:shd w:val="clear" w:color="auto" w:fill="FFFFFF"/>
        </w:rPr>
        <w:t>a remplacé la facilité pour la réduction de la pauvreté et pour la croissance (FRPC) comme principal moyen pour le FMI d’accorder une aide à moyen terme aux pays à faible revenu ayant des problèmes prolongés de balance des paiements. Un financement au titre de la FEC est assorti d’un taux d’intérêt nul, d’un délai de remboursement de cinq ans et demi et d’une échéance finale de dix ans.</w:t>
      </w:r>
    </w:p>
    <w:p w14:paraId="18F0B972" w14:textId="10396805" w:rsidR="0021066D" w:rsidRDefault="00665F66">
      <w:pPr>
        <w:rPr>
          <w:rFonts w:ascii="Arial" w:hAnsi="Arial" w:cs="Arial"/>
          <w:color w:val="222222"/>
          <w:shd w:val="clear" w:color="auto" w:fill="FFFFFF"/>
        </w:rPr>
      </w:pPr>
      <w:r>
        <w:rPr>
          <w:rFonts w:ascii="Arial" w:hAnsi="Arial" w:cs="Arial"/>
          <w:color w:val="222222"/>
          <w:shd w:val="clear" w:color="auto" w:fill="FFFFFF"/>
        </w:rPr>
        <w:t>La</w:t>
      </w:r>
      <w:r>
        <w:rPr>
          <w:rStyle w:val="apple-converted-space"/>
          <w:rFonts w:ascii="Arial" w:hAnsi="Arial" w:cs="Arial"/>
          <w:color w:val="222222"/>
          <w:shd w:val="clear" w:color="auto" w:fill="FFFFFF"/>
        </w:rPr>
        <w:t> </w:t>
      </w:r>
      <w:r>
        <w:rPr>
          <w:rFonts w:ascii="Arial" w:hAnsi="Arial" w:cs="Arial"/>
          <w:b/>
          <w:bCs/>
          <w:color w:val="222222"/>
          <w:shd w:val="clear" w:color="auto" w:fill="FFFFFF"/>
        </w:rPr>
        <w:t>fiducie</w:t>
      </w:r>
      <w:r>
        <w:rPr>
          <w:rStyle w:val="apple-converted-space"/>
          <w:rFonts w:ascii="Arial" w:hAnsi="Arial" w:cs="Arial"/>
          <w:color w:val="222222"/>
          <w:shd w:val="clear" w:color="auto" w:fill="FFFFFF"/>
        </w:rPr>
        <w:t> </w:t>
      </w:r>
      <w:r>
        <w:rPr>
          <w:rFonts w:ascii="Arial" w:hAnsi="Arial" w:cs="Arial"/>
          <w:color w:val="222222"/>
          <w:shd w:val="clear" w:color="auto" w:fill="FFFFFF"/>
        </w:rPr>
        <w:t>est une disposition juridique qui permet à une personne (le disposant) de transférer de manière légale à un tiers (le</w:t>
      </w:r>
      <w:r>
        <w:rPr>
          <w:rStyle w:val="apple-converted-space"/>
          <w:rFonts w:ascii="Arial" w:hAnsi="Arial" w:cs="Arial"/>
          <w:color w:val="222222"/>
          <w:shd w:val="clear" w:color="auto" w:fill="FFFFFF"/>
        </w:rPr>
        <w:t> </w:t>
      </w:r>
      <w:r>
        <w:rPr>
          <w:rFonts w:ascii="Arial" w:hAnsi="Arial" w:cs="Arial"/>
          <w:b/>
          <w:bCs/>
          <w:color w:val="222222"/>
          <w:shd w:val="clear" w:color="auto" w:fill="FFFFFF"/>
        </w:rPr>
        <w:t>fiduciaire</w:t>
      </w:r>
      <w:r>
        <w:rPr>
          <w:rFonts w:ascii="Arial" w:hAnsi="Arial" w:cs="Arial"/>
          <w:color w:val="222222"/>
          <w:shd w:val="clear" w:color="auto" w:fill="FFFFFF"/>
        </w:rPr>
        <w:t xml:space="preserve">) un bien que ce dernier doit gérer et rendre au bout d'un temps convenu et dans des conditions déterminées. </w:t>
      </w:r>
      <w:proofErr w:type="spellStart"/>
      <w:r>
        <w:rPr>
          <w:rFonts w:ascii="Arial" w:hAnsi="Arial" w:cs="Arial"/>
          <w:color w:val="222222"/>
          <w:shd w:val="clear" w:color="auto" w:fill="FFFFFF"/>
        </w:rPr>
        <w:t>La</w:t>
      </w:r>
      <w:r>
        <w:rPr>
          <w:rFonts w:ascii="Arial" w:hAnsi="Arial" w:cs="Arial"/>
          <w:b/>
          <w:bCs/>
          <w:color w:val="222222"/>
          <w:shd w:val="clear" w:color="auto" w:fill="FFFFFF"/>
        </w:rPr>
        <w:t>fiducie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est donc un transfert temporaire de propriété</w:t>
      </w:r>
      <w:r w:rsidR="00946FC4">
        <w:rPr>
          <w:rFonts w:ascii="Arial" w:hAnsi="Arial" w:cs="Arial"/>
          <w:color w:val="222222"/>
          <w:shd w:val="clear" w:color="auto" w:fill="FFFFFF"/>
        </w:rPr>
        <w:t>.</w:t>
      </w:r>
    </w:p>
    <w:p w14:paraId="05584D94" w14:textId="37EA00DF" w:rsidR="00946FC4" w:rsidRDefault="00946FC4">
      <w:r>
        <w:rPr>
          <w:rFonts w:ascii="Arial" w:hAnsi="Arial" w:cs="Arial"/>
          <w:color w:val="222222"/>
          <w:shd w:val="clear" w:color="auto" w:fill="FFFFFF"/>
        </w:rPr>
        <w:t>La conditionnalité dans l'aide internationale est l'ensemble des conditions exigées par les grandes organisations économiques internationales en échange de prêts aux pays en développement.</w:t>
      </w:r>
    </w:p>
    <w:p w14:paraId="0115FA59" w14:textId="77777777" w:rsidR="0021066D" w:rsidRDefault="0021066D">
      <w:r>
        <w:br w:type="page"/>
      </w:r>
    </w:p>
    <w:p w14:paraId="5316715C" w14:textId="3AB9B308" w:rsidR="00914670" w:rsidRDefault="00914670">
      <w:r>
        <w:lastRenderedPageBreak/>
        <w:t>Résumé du document :</w:t>
      </w:r>
      <w:r w:rsidR="00220D55">
        <w:t xml:space="preserve"> auteur William </w:t>
      </w:r>
      <w:proofErr w:type="spellStart"/>
      <w:r w:rsidR="00220D55">
        <w:t>Easterly</w:t>
      </w:r>
      <w:proofErr w:type="spellEnd"/>
    </w:p>
    <w:p w14:paraId="1F07BA9A" w14:textId="77777777" w:rsidR="00914670" w:rsidRDefault="00914670">
      <w:r>
        <w:t xml:space="preserve">Les programmes d’ajustement structurel du FMI et de la Banque Mondiale et la pauvreté </w:t>
      </w:r>
    </w:p>
    <w:p w14:paraId="3D54AAE3" w14:textId="77777777" w:rsidR="007D455B" w:rsidRDefault="00E974F7">
      <w:r>
        <w:t xml:space="preserve">Les objectifs du FMI </w:t>
      </w:r>
      <w:r w:rsidR="006C3629">
        <w:t xml:space="preserve">se sont élargis avec le crédit d’allocation (soft </w:t>
      </w:r>
      <w:proofErr w:type="spellStart"/>
      <w:r w:rsidR="006C3629">
        <w:t>loan</w:t>
      </w:r>
      <w:proofErr w:type="spellEnd"/>
      <w:r w:rsidR="006C3629">
        <w:t xml:space="preserve">) ou </w:t>
      </w:r>
      <w:r w:rsidR="003263A9">
        <w:t xml:space="preserve">crédit concessionnel. Fmi se focalise sur la réduction de la pauvreté </w:t>
      </w:r>
      <w:r w:rsidR="00CF7C98">
        <w:t>dans le contexte d’une stratégie orientée vers la croissance</w:t>
      </w:r>
      <w:r w:rsidR="00432FFA">
        <w:t xml:space="preserve"> (PRSP=dossier de stratégie pour la réduction de la pauvreté)</w:t>
      </w:r>
      <w:r w:rsidR="00CF7C98">
        <w:t>.</w:t>
      </w:r>
      <w:r w:rsidR="002E60C8">
        <w:t xml:space="preserve"> </w:t>
      </w:r>
      <w:r w:rsidR="00EF1730">
        <w:t>Or, c’est extrêmement important de comprendre l’effet d’</w:t>
      </w:r>
      <w:r w:rsidR="007F3704">
        <w:t>un programme d’ajustement structurel non seulement sur l’</w:t>
      </w:r>
      <w:r w:rsidR="0043704F">
        <w:t xml:space="preserve">économie mais aussi sur la situation des pauvres. </w:t>
      </w:r>
      <w:r w:rsidR="0003713B">
        <w:t>On peut se poser la question si</w:t>
      </w:r>
      <w:r w:rsidR="00E4795F">
        <w:t xml:space="preserve"> l’impact d’une allocation de la part de F</w:t>
      </w:r>
      <w:r w:rsidR="00920B07">
        <w:t xml:space="preserve">MI se montrerait bénéfique pour le pays en question d’un plan de vue budgétaire </w:t>
      </w:r>
      <w:r w:rsidR="00FA7C80">
        <w:t xml:space="preserve">et en même temps austère pour les pauvres. </w:t>
      </w:r>
      <w:r w:rsidR="00CF7C98">
        <w:t xml:space="preserve"> </w:t>
      </w:r>
      <w:r w:rsidR="0056759B">
        <w:t xml:space="preserve">Certains auteurs pensent que les PAS </w:t>
      </w:r>
      <w:r w:rsidR="009F7A1F">
        <w:t xml:space="preserve">nuisent aux pauvres : </w:t>
      </w:r>
      <w:r w:rsidR="00011C4C">
        <w:t>« </w:t>
      </w:r>
      <w:r w:rsidR="009F7A1F">
        <w:t xml:space="preserve">dans les pays </w:t>
      </w:r>
      <w:r w:rsidR="005E3E05">
        <w:t>du sud, les profits des corporations s’amél</w:t>
      </w:r>
      <w:r w:rsidR="00011C4C">
        <w:t>iorent, mais la pauvreté et la souffrance aussi</w:t>
      </w:r>
      <w:r w:rsidR="004B4B7E">
        <w:t xml:space="preserve">. Des décennies de promesses qu’encore un peu de peine à CT va </w:t>
      </w:r>
      <w:r w:rsidR="00075DD8">
        <w:t xml:space="preserve">apporter du gain à LT ont donné une image du FMI et de la BM de </w:t>
      </w:r>
      <w:r w:rsidR="002829E7">
        <w:t>prophètes</w:t>
      </w:r>
      <w:r w:rsidR="00075DD8">
        <w:t>-menteurs</w:t>
      </w:r>
      <w:r w:rsidR="002829E7">
        <w:t xml:space="preserve"> dont la mission</w:t>
      </w:r>
      <w:r w:rsidR="00ED0A3A">
        <w:t xml:space="preserve"> serait plutôt de protéger ceux qui ont déjà un pouvoir et de la richesse importante. »</w:t>
      </w:r>
      <w:r w:rsidR="005163BC">
        <w:t xml:space="preserve"> Un report publié par le WDM – le </w:t>
      </w:r>
      <w:r w:rsidR="00524B2A">
        <w:t>mouvement du développement mondial nous montre que le fonds alloués par le FMI réagissent plutôt comme des barrières</w:t>
      </w:r>
      <w:r w:rsidR="00E202FC">
        <w:t xml:space="preserve"> pour les politiques desquelles profitent les plus vulnérables. </w:t>
      </w:r>
      <w:r w:rsidR="003A66B8">
        <w:t xml:space="preserve">Beaucoup de pays émergents ont souffert </w:t>
      </w:r>
      <w:r w:rsidR="00EA4D81">
        <w:t xml:space="preserve">de l’augmentation </w:t>
      </w:r>
      <w:r w:rsidR="00E0725F">
        <w:t>durable</w:t>
      </w:r>
      <w:r w:rsidR="00EA4D81">
        <w:t xml:space="preserve"> de la </w:t>
      </w:r>
      <w:r w:rsidR="00E0725F">
        <w:t>prospérité souvent accompagnée par l’augmentation dramatique de l’inégalité et la pauvreté infantile</w:t>
      </w:r>
      <w:r w:rsidR="007D455B">
        <w:t>, bien sûr toujours sous les PAS du FMI et de la BM</w:t>
      </w:r>
      <w:r w:rsidR="00E0725F">
        <w:t>.</w:t>
      </w:r>
    </w:p>
    <w:p w14:paraId="0659FA77" w14:textId="533ACF49" w:rsidR="00D24666" w:rsidRDefault="00C069A5">
      <w:r>
        <w:t xml:space="preserve">Cet article a conclu que </w:t>
      </w:r>
      <w:r w:rsidR="005A01CB">
        <w:t xml:space="preserve">le crédit d’ajustement </w:t>
      </w:r>
      <w:r w:rsidR="00D77C8E">
        <w:t>allou</w:t>
      </w:r>
      <w:r w:rsidR="00E308CB">
        <w:t>é par le FMI et la BM réduit l’élasticité de la</w:t>
      </w:r>
      <w:r w:rsidR="00D77C8E">
        <w:t xml:space="preserve"> croissance</w:t>
      </w:r>
      <w:r w:rsidR="00E308CB">
        <w:t xml:space="preserve"> de la pauvreté</w:t>
      </w:r>
      <w:r w:rsidR="003F080F">
        <w:t xml:space="preserve"> et cela est la part de changement </w:t>
      </w:r>
      <w:r w:rsidR="001A0127">
        <w:t xml:space="preserve">des proportions de pauvreté nécessaire pour compenser la part donné pour la croissance. </w:t>
      </w:r>
      <w:r w:rsidR="00687708">
        <w:t>Cela signifie que l’expansion économique est bénéfique pour les pauv</w:t>
      </w:r>
      <w:r w:rsidR="00834428">
        <w:t xml:space="preserve">res dans une moindre mesure sous l’AS et en même temps la récession économique </w:t>
      </w:r>
      <w:r w:rsidR="00D24666">
        <w:t>touche moins les pauvres. Il existe plusieurs explications pour cette déduction :</w:t>
      </w:r>
      <w:r w:rsidR="00946FC4">
        <w:t xml:space="preserve"> la conditionnalité peut être moins austère quand le prêt se réalise pendant une récession économique, alors qu’elle peut demander plus d’ajustement macroéconomique pendant une expansion. </w:t>
      </w:r>
    </w:p>
    <w:p w14:paraId="593E8DF8" w14:textId="0A50791B" w:rsidR="002064F8" w:rsidRDefault="00EF41C3">
      <w:pPr>
        <w:rPr>
          <w:color w:val="FF0000"/>
        </w:rPr>
      </w:pPr>
      <w:r w:rsidRPr="00421CDB">
        <w:rPr>
          <w:color w:val="FF0000"/>
        </w:rPr>
        <w:t xml:space="preserve">Si l’ajustement macroéconomique touche les pauvres disproportionnellement </w:t>
      </w:r>
      <w:r w:rsidR="00421CDB" w:rsidRPr="00421CDB">
        <w:rPr>
          <w:color w:val="FF0000"/>
        </w:rPr>
        <w:t xml:space="preserve">cela signifie que le prêt d’ajustement structurel baissera l’élasticité de la pauvreté par rapport à la croissance. </w:t>
      </w:r>
      <w:r w:rsidR="00421CDB">
        <w:rPr>
          <w:color w:val="FF0000"/>
        </w:rPr>
        <w:t>Très important à comprendre et développer</w:t>
      </w:r>
    </w:p>
    <w:p w14:paraId="4C42A78C" w14:textId="44A1DBC5" w:rsidR="00421CDB" w:rsidRPr="00421CDB" w:rsidRDefault="00421CDB">
      <w:r>
        <w:t>L’ajustement fiscal est réalisé par augmentation régressive des taxes comme les taxes de ventes ou la réduction progressive de la consommation/dépenses comme les transferts. L’AS pourrait même impliquer un mécanisme d’assurance fiscale comme l’augmentation dans les subventions. Cela signifie qu’en temps de récession il y a une augmentation d’aides ce qui résulterait dans un moindre impact de la contraction économique sur les pauvres mais aussi serait accompagné par une réduction des allocations en période d’expansion. Si les pauvres obtiennent leurs ressources du secteur inf</w:t>
      </w:r>
      <w:r w:rsidR="00290525">
        <w:t xml:space="preserve">ormel et des activités de subsidence, et ils sont pas affectés par le changement des politiques fiscales ou l’ajustement dans les politiques macroéconomiques. </w:t>
      </w:r>
      <w:bookmarkStart w:id="0" w:name="_GoBack"/>
      <w:bookmarkEnd w:id="0"/>
    </w:p>
    <w:p w14:paraId="31CE3869" w14:textId="77777777" w:rsidR="00D24666" w:rsidRDefault="00D24666"/>
    <w:p w14:paraId="5DCF9B8C" w14:textId="77777777" w:rsidR="00435569" w:rsidRDefault="00435569"/>
    <w:p w14:paraId="008F3490" w14:textId="77777777" w:rsidR="00435569" w:rsidRDefault="00435569"/>
    <w:p w14:paraId="10E01E9B" w14:textId="77777777" w:rsidR="00435569" w:rsidRDefault="00435569"/>
    <w:p w14:paraId="0102CCD2" w14:textId="77777777" w:rsidR="00435569" w:rsidRDefault="00435569"/>
    <w:p w14:paraId="63784F38" w14:textId="77777777" w:rsidR="00435569" w:rsidRDefault="00435569"/>
    <w:p w14:paraId="1983FF03" w14:textId="77777777" w:rsidR="00435569" w:rsidRDefault="00435569"/>
    <w:p w14:paraId="77DACD62" w14:textId="77777777" w:rsidR="00435569" w:rsidRDefault="00435569"/>
    <w:p w14:paraId="20062AC1" w14:textId="77777777" w:rsidR="00435569" w:rsidRDefault="00435569"/>
    <w:p w14:paraId="27A2F539" w14:textId="77777777" w:rsidR="00435569" w:rsidRDefault="00435569"/>
    <w:p w14:paraId="31A64DA5" w14:textId="77777777" w:rsidR="00435569" w:rsidRDefault="00435569"/>
    <w:p w14:paraId="53FD86C9" w14:textId="77777777" w:rsidR="00435569" w:rsidRDefault="00435569"/>
    <w:p w14:paraId="4028B0AD" w14:textId="77777777" w:rsidR="00435569" w:rsidRDefault="00435569"/>
    <w:p w14:paraId="740EA6A6" w14:textId="77777777" w:rsidR="00435569" w:rsidRDefault="00435569"/>
    <w:p w14:paraId="711C2B48" w14:textId="77777777" w:rsidR="00435569" w:rsidRDefault="00435569"/>
    <w:p w14:paraId="60B56875" w14:textId="77777777" w:rsidR="00435569" w:rsidRDefault="00435569"/>
    <w:p w14:paraId="2A7541B9" w14:textId="77777777" w:rsidR="00435569" w:rsidRDefault="00435569"/>
    <w:p w14:paraId="6F671B4A" w14:textId="77777777" w:rsidR="00435569" w:rsidRDefault="00435569"/>
    <w:p w14:paraId="618ED1DA" w14:textId="77777777" w:rsidR="00435569" w:rsidRDefault="00435569"/>
    <w:p w14:paraId="3F158EA8" w14:textId="77777777" w:rsidR="00435569" w:rsidRDefault="00435569"/>
    <w:p w14:paraId="390EA38A" w14:textId="77777777" w:rsidR="00435569" w:rsidRDefault="00435569"/>
    <w:p w14:paraId="01A4BD2D" w14:textId="77777777" w:rsidR="00435569" w:rsidRDefault="00435569"/>
    <w:p w14:paraId="27FA2B3C" w14:textId="77777777" w:rsidR="00435569" w:rsidRDefault="00435569"/>
    <w:p w14:paraId="43596601" w14:textId="77777777" w:rsidR="00435569" w:rsidRDefault="00435569"/>
    <w:p w14:paraId="57AB0519" w14:textId="77777777" w:rsidR="00435569" w:rsidRDefault="00435569"/>
    <w:p w14:paraId="56EF723D" w14:textId="77777777" w:rsidR="00435569" w:rsidRDefault="00435569"/>
    <w:p w14:paraId="3AFE660D" w14:textId="77777777" w:rsidR="00435569" w:rsidRDefault="00435569"/>
    <w:p w14:paraId="4C9DDD09" w14:textId="77777777" w:rsidR="00435569" w:rsidRDefault="00435569"/>
    <w:p w14:paraId="5F3573B7" w14:textId="77777777" w:rsidR="00435569" w:rsidRDefault="00435569"/>
    <w:p w14:paraId="20A51E55" w14:textId="77777777" w:rsidR="00435569" w:rsidRDefault="00435569"/>
    <w:p w14:paraId="7989571A" w14:textId="77777777" w:rsidR="00435569" w:rsidRDefault="00435569"/>
    <w:p w14:paraId="24DF7170" w14:textId="77777777" w:rsidR="00435569" w:rsidRDefault="00435569"/>
    <w:p w14:paraId="68D12308" w14:textId="44EA5683" w:rsidR="00ED0A3A" w:rsidRDefault="00D77C8E">
      <w:r>
        <w:t xml:space="preserve"> </w:t>
      </w:r>
      <w:r w:rsidR="00E0725F">
        <w:t xml:space="preserve">  </w:t>
      </w:r>
    </w:p>
    <w:p w14:paraId="068E7A2B" w14:textId="3A39E89C" w:rsidR="00914670" w:rsidRDefault="00ED0A3A">
      <w:r>
        <w:t xml:space="preserve"> </w:t>
      </w:r>
      <w:r w:rsidR="002829E7">
        <w:t xml:space="preserve"> </w:t>
      </w:r>
      <w:r w:rsidR="00075DD8">
        <w:t xml:space="preserve"> </w:t>
      </w:r>
      <w:r w:rsidR="009F7A1F">
        <w:t xml:space="preserve"> </w:t>
      </w:r>
    </w:p>
    <w:sectPr w:rsidR="00914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legrey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83B37"/>
    <w:multiLevelType w:val="multilevel"/>
    <w:tmpl w:val="71C4EA9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heme="minorEastAsia" w:cstheme="minorBidi" w:hint="default"/>
        <w:color w:val="1F1F1F"/>
      </w:rPr>
    </w:lvl>
    <w:lvl w:ilvl="2">
      <w:start w:val="2"/>
      <w:numFmt w:val="upperRoman"/>
      <w:lvlText w:val="%3."/>
      <w:lvlJc w:val="left"/>
      <w:pPr>
        <w:ind w:left="2520" w:hanging="720"/>
      </w:pPr>
      <w:rPr>
        <w:rFonts w:eastAsiaTheme="minorEastAsia" w:cstheme="minorBid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670"/>
    <w:rsid w:val="00011C4C"/>
    <w:rsid w:val="0003713B"/>
    <w:rsid w:val="00075DD8"/>
    <w:rsid w:val="001A0127"/>
    <w:rsid w:val="002064F8"/>
    <w:rsid w:val="0021066D"/>
    <w:rsid w:val="00220D55"/>
    <w:rsid w:val="002829E7"/>
    <w:rsid w:val="00290525"/>
    <w:rsid w:val="002E60C8"/>
    <w:rsid w:val="003263A9"/>
    <w:rsid w:val="003A66B8"/>
    <w:rsid w:val="003F080F"/>
    <w:rsid w:val="00421CDB"/>
    <w:rsid w:val="00432FFA"/>
    <w:rsid w:val="00435569"/>
    <w:rsid w:val="0043704F"/>
    <w:rsid w:val="004B4B7E"/>
    <w:rsid w:val="005163BC"/>
    <w:rsid w:val="00524B2A"/>
    <w:rsid w:val="0056759B"/>
    <w:rsid w:val="005A01CB"/>
    <w:rsid w:val="005E3E05"/>
    <w:rsid w:val="00665F66"/>
    <w:rsid w:val="00687708"/>
    <w:rsid w:val="006C3629"/>
    <w:rsid w:val="006F4C48"/>
    <w:rsid w:val="007D455B"/>
    <w:rsid w:val="007F3704"/>
    <w:rsid w:val="00834428"/>
    <w:rsid w:val="00914670"/>
    <w:rsid w:val="00920B07"/>
    <w:rsid w:val="00946FC4"/>
    <w:rsid w:val="009F7A1F"/>
    <w:rsid w:val="00A30AE1"/>
    <w:rsid w:val="00C069A5"/>
    <w:rsid w:val="00CF7C98"/>
    <w:rsid w:val="00D24666"/>
    <w:rsid w:val="00D77C8E"/>
    <w:rsid w:val="00E0725F"/>
    <w:rsid w:val="00E202FC"/>
    <w:rsid w:val="00E308CB"/>
    <w:rsid w:val="00E4795F"/>
    <w:rsid w:val="00E974F7"/>
    <w:rsid w:val="00EA4D81"/>
    <w:rsid w:val="00ED0A3A"/>
    <w:rsid w:val="00EF1730"/>
    <w:rsid w:val="00EF41C3"/>
    <w:rsid w:val="00FA7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4352"/>
  <w15:chartTrackingRefBased/>
  <w15:docId w15:val="{A2CABD42-5225-9140-AFDE-A3782DE0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064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064F8"/>
    <w:rPr>
      <w:color w:val="0000FF"/>
      <w:u w:val="single"/>
    </w:rPr>
  </w:style>
  <w:style w:type="character" w:customStyle="1" w:styleId="renvoifakeno">
    <w:name w:val="renvoi_fake_no"/>
    <w:basedOn w:val="Policepardfaut"/>
    <w:rsid w:val="002064F8"/>
  </w:style>
  <w:style w:type="character" w:customStyle="1" w:styleId="Titre1Car">
    <w:name w:val="Titre 1 Car"/>
    <w:basedOn w:val="Policepardfaut"/>
    <w:link w:val="Titre1"/>
    <w:uiPriority w:val="9"/>
    <w:rsid w:val="002064F8"/>
    <w:rPr>
      <w:rFonts w:ascii="Times New Roman" w:eastAsia="Times New Roman" w:hAnsi="Times New Roman" w:cs="Times New Roman"/>
      <w:b/>
      <w:bCs/>
      <w:kern w:val="36"/>
      <w:sz w:val="48"/>
      <w:szCs w:val="48"/>
      <w:lang w:val="en-US" w:eastAsia="en-US"/>
    </w:rPr>
  </w:style>
  <w:style w:type="character" w:customStyle="1" w:styleId="apple-converted-space">
    <w:name w:val="apple-converted-space"/>
    <w:basedOn w:val="Policepardfaut"/>
    <w:rsid w:val="002064F8"/>
  </w:style>
  <w:style w:type="character" w:customStyle="1" w:styleId="orange">
    <w:name w:val="orange"/>
    <w:basedOn w:val="Policepardfaut"/>
    <w:rsid w:val="002064F8"/>
  </w:style>
  <w:style w:type="character" w:customStyle="1" w:styleId="titre">
    <w:name w:val="titre"/>
    <w:basedOn w:val="Policepardfaut"/>
    <w:rsid w:val="002064F8"/>
  </w:style>
  <w:style w:type="character" w:customStyle="1" w:styleId="withoutcontribution">
    <w:name w:val="without_contribution"/>
    <w:basedOn w:val="Policepardfaut"/>
    <w:rsid w:val="002064F8"/>
  </w:style>
  <w:style w:type="character" w:customStyle="1" w:styleId="nomauteur">
    <w:name w:val="nom_auteur"/>
    <w:basedOn w:val="Policepardfaut"/>
    <w:rsid w:val="002064F8"/>
  </w:style>
  <w:style w:type="paragraph" w:customStyle="1" w:styleId="alinea">
    <w:name w:val="alinea"/>
    <w:basedOn w:val="Normal"/>
    <w:rsid w:val="006F4C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Accentuation">
    <w:name w:val="Emphasis"/>
    <w:basedOn w:val="Policepardfaut"/>
    <w:uiPriority w:val="20"/>
    <w:qFormat/>
    <w:rsid w:val="006F4C48"/>
    <w:rPr>
      <w:i/>
      <w:iCs/>
    </w:rPr>
  </w:style>
  <w:style w:type="paragraph" w:styleId="Paragraphedeliste">
    <w:name w:val="List Paragraph"/>
    <w:basedOn w:val="Normal"/>
    <w:uiPriority w:val="34"/>
    <w:qFormat/>
    <w:rsid w:val="006F4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79208">
      <w:bodyDiv w:val="1"/>
      <w:marLeft w:val="0"/>
      <w:marRight w:val="0"/>
      <w:marTop w:val="0"/>
      <w:marBottom w:val="0"/>
      <w:divBdr>
        <w:top w:val="none" w:sz="0" w:space="0" w:color="auto"/>
        <w:left w:val="none" w:sz="0" w:space="0" w:color="auto"/>
        <w:bottom w:val="none" w:sz="0" w:space="0" w:color="auto"/>
        <w:right w:val="none" w:sz="0" w:space="0" w:color="auto"/>
      </w:divBdr>
      <w:divsChild>
        <w:div w:id="100149997">
          <w:marLeft w:val="0"/>
          <w:marRight w:val="0"/>
          <w:marTop w:val="0"/>
          <w:marBottom w:val="0"/>
          <w:divBdr>
            <w:top w:val="none" w:sz="0" w:space="0" w:color="auto"/>
            <w:left w:val="none" w:sz="0" w:space="0" w:color="auto"/>
            <w:bottom w:val="none" w:sz="0" w:space="0" w:color="auto"/>
            <w:right w:val="none" w:sz="0" w:space="0" w:color="auto"/>
          </w:divBdr>
        </w:div>
        <w:div w:id="1574972960">
          <w:marLeft w:val="0"/>
          <w:marRight w:val="0"/>
          <w:marTop w:val="240"/>
          <w:marBottom w:val="0"/>
          <w:divBdr>
            <w:top w:val="none" w:sz="0" w:space="0" w:color="auto"/>
            <w:left w:val="none" w:sz="0" w:space="0" w:color="auto"/>
            <w:bottom w:val="none" w:sz="0" w:space="0" w:color="auto"/>
            <w:right w:val="none" w:sz="0" w:space="0" w:color="auto"/>
          </w:divBdr>
        </w:div>
      </w:divsChild>
    </w:div>
    <w:div w:id="1435056234">
      <w:bodyDiv w:val="1"/>
      <w:marLeft w:val="0"/>
      <w:marRight w:val="0"/>
      <w:marTop w:val="0"/>
      <w:marBottom w:val="0"/>
      <w:divBdr>
        <w:top w:val="none" w:sz="0" w:space="0" w:color="auto"/>
        <w:left w:val="none" w:sz="0" w:space="0" w:color="auto"/>
        <w:bottom w:val="none" w:sz="0" w:space="0" w:color="auto"/>
        <w:right w:val="none" w:sz="0" w:space="0" w:color="auto"/>
      </w:divBdr>
      <w:divsChild>
        <w:div w:id="1657414731">
          <w:marLeft w:val="0"/>
          <w:marRight w:val="0"/>
          <w:marTop w:val="0"/>
          <w:marBottom w:val="0"/>
          <w:divBdr>
            <w:top w:val="none" w:sz="0" w:space="0" w:color="auto"/>
            <w:left w:val="none" w:sz="0" w:space="0" w:color="auto"/>
            <w:bottom w:val="none" w:sz="0" w:space="0" w:color="auto"/>
            <w:right w:val="single" w:sz="6" w:space="8" w:color="CCCCCC"/>
          </w:divBdr>
          <w:divsChild>
            <w:div w:id="754282186">
              <w:marLeft w:val="0"/>
              <w:marRight w:val="0"/>
              <w:marTop w:val="0"/>
              <w:marBottom w:val="0"/>
              <w:divBdr>
                <w:top w:val="none" w:sz="0" w:space="0" w:color="auto"/>
                <w:left w:val="none" w:sz="0" w:space="0" w:color="auto"/>
                <w:bottom w:val="none" w:sz="0" w:space="0" w:color="auto"/>
                <w:right w:val="none" w:sz="0" w:space="0" w:color="auto"/>
              </w:divBdr>
              <w:divsChild>
                <w:div w:id="48393682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irn.info/revue-afrique-contemporaine-2004-3-page-29.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irn.info/revue-afrique-contemporaine-2004-3-page-29.htm" TargetMode="External"/><Relationship Id="rId12" Type="http://schemas.openxmlformats.org/officeDocument/2006/relationships/hyperlink" Target="https://www.imf.org/external/np/exr/facts/fre/ecff.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irn.info/revue-afrique-contemporaine-2004-3-page-29.htm" TargetMode="External"/><Relationship Id="rId11" Type="http://schemas.openxmlformats.org/officeDocument/2006/relationships/hyperlink" Target="https://www.imf.org/external/np/exr/facts/fre/poorf.htm" TargetMode="External"/><Relationship Id="rId5" Type="http://schemas.openxmlformats.org/officeDocument/2006/relationships/hyperlink" Target="https://www.cairn.info/publications-de-Bourguignon-Fran%C3%A7ois--891.htm" TargetMode="External"/><Relationship Id="rId10" Type="http://schemas.openxmlformats.org/officeDocument/2006/relationships/hyperlink" Target="https://www.cairn.info/revue-afrique-contemporaine-2004-3-page-29.htm" TargetMode="External"/><Relationship Id="rId4" Type="http://schemas.openxmlformats.org/officeDocument/2006/relationships/webSettings" Target="webSettings.xml"/><Relationship Id="rId9" Type="http://schemas.openxmlformats.org/officeDocument/2006/relationships/hyperlink" Target="https://www.cairn.info/revue-afrique-contemporaine-2004-3-page-29.ht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1589</Words>
  <Characters>9059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Proshenska</dc:creator>
  <cp:keywords/>
  <dc:description/>
  <cp:lastModifiedBy>Darina Proshenska</cp:lastModifiedBy>
  <cp:revision>31</cp:revision>
  <dcterms:created xsi:type="dcterms:W3CDTF">2017-03-30T12:14:00Z</dcterms:created>
  <dcterms:modified xsi:type="dcterms:W3CDTF">2017-03-31T10:49:00Z</dcterms:modified>
</cp:coreProperties>
</file>