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/>
      </w:pPr>
      <w:r>
        <w:rPr>
          <w:rFonts w:ascii="Noto Sans" w:cs="Noto Sans" w:eastAsia="Noto Sans" w:hAnsi="Noto Sans"/>
          <w:sz w:val="28"/>
          <w:szCs w:val="28"/>
        </w:rPr>
        <w:t xml:space="preserve">Запрос на предложение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Учебная столярная мастерская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Учебные синтетические данные. Организации, операции, цены и условия вымышлены; это не сведения о реальном бизнесе и не обещание дохода.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Запрос MF-Q-001. Снимок материалов на 2026-01-01.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Нужны 40 сервировочных досок и 20 подносов с единой упаковкой. В таблице отгрузка 24 января, в тексте вручение 23 января. Макет персонализации не приложен; не считать его утверждённым. Использовать базовые модели и отдельно оценить изменения. Время сушки 24 часа, это ожидание, а не 24 человеко-часа.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552"/>
        <w:gridCol w:w="2552"/>
        <w:gridCol w:w="2552"/>
      </w:tblGrid>
      <w:tr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Артикул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Наименование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Количество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Единица</w:t>
            </w:r>
          </w:p>
        </w:tc>
      </w:tr>
      <w:tr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020301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Доска сервировочная, учебная модель 30 x 20 см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40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piece</w:t>
            </w:r>
          </w:p>
        </w:tc>
      </w:tr>
      <w:tr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020302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Поднос деревянный, учебная модель 40 x 25 см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20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piece</w:t>
            </w:r>
          </w:p>
        </w:tc>
      </w:tr>
      <w:tr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020303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Подготовка индивидуальной партии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1</w:t>
            </w:r>
          </w:p>
        </w:tc>
        <w:tc>
          <w:p>
            <w:pPr>
              <w:spacing w:after="14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service</w:t>
            </w:r>
          </w:p>
        </w:tc>
      </w:tr>
    </w:tbl>
    <w:p>
      <w:pPr>
        <w:pStyle w:val="Heading1"/>
        <w:spacing w:after="140"/>
      </w:pPr>
      <w:r>
        <w:rPr>
          <w:rFonts w:ascii="Noto Sans" w:cs="Noto Sans" w:eastAsia="Noto Sans" w:hAnsi="Noto Sans"/>
          <w:sz w:val="28"/>
          <w:szCs w:val="28"/>
        </w:rPr>
        <w:t xml:space="preserve">Условия и вопросы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Учебная скидка 3% применяется к указанной партии, включая подготовку.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Персонализация возможна только после получения и проверки макета.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Размеры и пригодность материала должны подтверждаться реальным производителем.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Сушка: 24 календарных часа; трудозатраты учитываются отдельно.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Налоговый статус, упаковка и дата отгрузки требуют подтверждения.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Дата в запросе: 2026-01-24. Дата события: 2026-01-23. Требуется согласование.</w:t>
      </w:r>
    </w:p>
    <w:p>
      <w:r>
        <w:drawing>
          <wp:inline distT="0" distB="0" distL="0" distR="0">
            <wp:extent cx="2476500" cy="1857375"/>
            <wp:effectExtent t="0" r="0" b="0" l="0"/>
            <wp:docPr id="1" name="wooden-board" descr="Real third-party photograph used only as a representative educational category image; no business ownership, exact SKU match, partnership or endorsement claimed." title="Фотография деревянной доски. Учебная иллюстрация категории, не изделие вымышленной мастерско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Учебная фотография категории: Wooden cutting board 2017.jpg; Fructibus; CC0-1.0. https://commons.wikimedia.org/wiki/File:Wooden_cutting_board_2017.jpg</w:t>
      </w:r>
    </w:p>
    <w:p>
      <w:pPr>
        <w:spacing w:after="140"/>
      </w:pPr>
      <w:r>
        <w:rPr>
          <w:rFonts w:ascii="Noto Sans" w:cs="Noto Sans" w:eastAsia="Noto Sans" w:hAnsi="Noto Sans"/>
          <w:sz w:val="22"/>
          <w:szCs w:val="22"/>
        </w:rPr>
        <w:t xml:space="preserve">Тараз | Қазақстан | Ә Ғ Қ Ң Ө Ұ Ү Һ І | Учебный пример | Synthetic example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" w:cs="Noto Sans" w:eastAsia="Noto Sans" w:hAnsi="Noto Sans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e3089a155ec1de08114d5b4bd771ad62d295cfb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Synthetic business request</dc:title>
  <dc:creator>Tirlik synthetic fixtures</dc:creator>
  <dc:description>Fictional educational input; no real company or customer data.</dc:description>
  <cp:lastModifiedBy>Tirlik synthetic fixtures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