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97DCC" w14:textId="77777777" w:rsidR="003C27A4" w:rsidRDefault="00156EC5" w:rsidP="00156EC5">
      <w:pPr>
        <w:jc w:val="center"/>
        <w:rPr>
          <w:b/>
          <w:sz w:val="32"/>
          <w:szCs w:val="32"/>
          <w:u w:val="single"/>
        </w:rPr>
      </w:pPr>
      <w:r w:rsidRPr="004E2365">
        <w:rPr>
          <w:b/>
          <w:sz w:val="32"/>
          <w:szCs w:val="32"/>
          <w:u w:val="single"/>
        </w:rPr>
        <w:t>Electronic medical record</w:t>
      </w:r>
    </w:p>
    <w:p w14:paraId="64FECAE2" w14:textId="77777777" w:rsidR="00B4592B" w:rsidRDefault="00B4592B">
      <w:pPr>
        <w:rPr>
          <w:b/>
          <w:sz w:val="32"/>
          <w:szCs w:val="32"/>
          <w:u w:val="single"/>
        </w:rPr>
      </w:pPr>
    </w:p>
    <w:p w14:paraId="22B22529" w14:textId="77777777" w:rsidR="00FF2FCB" w:rsidRDefault="00B4592B">
      <w:pPr>
        <w:pStyle w:val="TOC1"/>
        <w:tabs>
          <w:tab w:val="right" w:leader="dot" w:pos="10450"/>
        </w:tabs>
        <w:rPr>
          <w:b w:val="0"/>
          <w:noProof/>
          <w:lang w:val="en-US" w:eastAsia="ja-JP"/>
        </w:rPr>
      </w:pPr>
      <w:r>
        <w:rPr>
          <w:b w:val="0"/>
          <w:sz w:val="32"/>
          <w:szCs w:val="32"/>
          <w:u w:val="single"/>
        </w:rPr>
        <w:fldChar w:fldCharType="begin"/>
      </w:r>
      <w:r>
        <w:rPr>
          <w:b w:val="0"/>
          <w:sz w:val="32"/>
          <w:szCs w:val="32"/>
          <w:u w:val="single"/>
        </w:rPr>
        <w:instrText xml:space="preserve"> TOC \o "1-3" </w:instrText>
      </w:r>
      <w:r>
        <w:rPr>
          <w:b w:val="0"/>
          <w:sz w:val="32"/>
          <w:szCs w:val="32"/>
          <w:u w:val="single"/>
        </w:rPr>
        <w:fldChar w:fldCharType="separate"/>
      </w:r>
      <w:r w:rsidR="00FF2FCB">
        <w:rPr>
          <w:noProof/>
        </w:rPr>
        <w:t>Chapter I EMR construction</w:t>
      </w:r>
      <w:r w:rsidR="00FF2FCB">
        <w:rPr>
          <w:noProof/>
        </w:rPr>
        <w:tab/>
      </w:r>
      <w:r w:rsidR="00FF2FCB">
        <w:rPr>
          <w:noProof/>
        </w:rPr>
        <w:fldChar w:fldCharType="begin"/>
      </w:r>
      <w:r w:rsidR="00FF2FCB">
        <w:rPr>
          <w:noProof/>
        </w:rPr>
        <w:instrText xml:space="preserve"> PAGEREF _Toc427336632 \h </w:instrText>
      </w:r>
      <w:r w:rsidR="00FF2FCB">
        <w:rPr>
          <w:noProof/>
        </w:rPr>
      </w:r>
      <w:r w:rsidR="00FF2FCB">
        <w:rPr>
          <w:noProof/>
        </w:rPr>
        <w:fldChar w:fldCharType="separate"/>
      </w:r>
      <w:r w:rsidR="00FF2FCB">
        <w:rPr>
          <w:noProof/>
        </w:rPr>
        <w:t>2</w:t>
      </w:r>
      <w:r w:rsidR="00FF2FCB">
        <w:rPr>
          <w:noProof/>
        </w:rPr>
        <w:fldChar w:fldCharType="end"/>
      </w:r>
    </w:p>
    <w:p w14:paraId="27485CB4" w14:textId="77777777" w:rsidR="00FF2FCB" w:rsidRDefault="00FF2FCB">
      <w:pPr>
        <w:pStyle w:val="TOC3"/>
        <w:tabs>
          <w:tab w:val="right" w:leader="dot" w:pos="10450"/>
        </w:tabs>
        <w:rPr>
          <w:noProof/>
          <w:sz w:val="24"/>
          <w:szCs w:val="24"/>
          <w:lang w:val="en-US" w:eastAsia="ja-JP"/>
        </w:rPr>
      </w:pPr>
      <w:r w:rsidRPr="001F3456">
        <w:rPr>
          <w:noProof/>
          <w:lang w:val="en-US" w:eastAsia="zh-CN"/>
        </w:rPr>
        <w:t>eMERGE Phase I</w:t>
      </w:r>
      <w:r>
        <w:rPr>
          <w:noProof/>
        </w:rPr>
        <w:tab/>
      </w:r>
      <w:r>
        <w:rPr>
          <w:noProof/>
        </w:rPr>
        <w:fldChar w:fldCharType="begin"/>
      </w:r>
      <w:r>
        <w:rPr>
          <w:noProof/>
        </w:rPr>
        <w:instrText xml:space="preserve"> PAGEREF _Toc427336633 \h </w:instrText>
      </w:r>
      <w:r>
        <w:rPr>
          <w:noProof/>
        </w:rPr>
      </w:r>
      <w:r>
        <w:rPr>
          <w:noProof/>
        </w:rPr>
        <w:fldChar w:fldCharType="separate"/>
      </w:r>
      <w:r>
        <w:rPr>
          <w:noProof/>
        </w:rPr>
        <w:t>2</w:t>
      </w:r>
      <w:r>
        <w:rPr>
          <w:noProof/>
        </w:rPr>
        <w:fldChar w:fldCharType="end"/>
      </w:r>
    </w:p>
    <w:p w14:paraId="1E1931D2" w14:textId="77777777" w:rsidR="00FF2FCB" w:rsidRDefault="00FF2FCB">
      <w:pPr>
        <w:pStyle w:val="TOC3"/>
        <w:tabs>
          <w:tab w:val="right" w:leader="dot" w:pos="10450"/>
        </w:tabs>
        <w:rPr>
          <w:noProof/>
          <w:sz w:val="24"/>
          <w:szCs w:val="24"/>
          <w:lang w:val="en-US" w:eastAsia="ja-JP"/>
        </w:rPr>
      </w:pPr>
      <w:r w:rsidRPr="001F3456">
        <w:rPr>
          <w:noProof/>
          <w:lang w:val="en-US" w:eastAsia="zh-CN"/>
        </w:rPr>
        <w:t>EMR Phase II [eMERGE-II]</w:t>
      </w:r>
      <w:r>
        <w:rPr>
          <w:noProof/>
        </w:rPr>
        <w:tab/>
      </w:r>
      <w:r>
        <w:rPr>
          <w:noProof/>
        </w:rPr>
        <w:fldChar w:fldCharType="begin"/>
      </w:r>
      <w:r>
        <w:rPr>
          <w:noProof/>
        </w:rPr>
        <w:instrText xml:space="preserve"> PAGEREF _Toc427336634 \h </w:instrText>
      </w:r>
      <w:r>
        <w:rPr>
          <w:noProof/>
        </w:rPr>
      </w:r>
      <w:r>
        <w:rPr>
          <w:noProof/>
        </w:rPr>
        <w:fldChar w:fldCharType="separate"/>
      </w:r>
      <w:r>
        <w:rPr>
          <w:noProof/>
        </w:rPr>
        <w:t>2</w:t>
      </w:r>
      <w:r>
        <w:rPr>
          <w:noProof/>
        </w:rPr>
        <w:fldChar w:fldCharType="end"/>
      </w:r>
    </w:p>
    <w:p w14:paraId="47990341" w14:textId="77777777" w:rsidR="00FF2FCB" w:rsidRDefault="00FF2FCB">
      <w:pPr>
        <w:pStyle w:val="TOC3"/>
        <w:tabs>
          <w:tab w:val="right" w:leader="dot" w:pos="10450"/>
        </w:tabs>
        <w:rPr>
          <w:noProof/>
          <w:sz w:val="24"/>
          <w:szCs w:val="24"/>
          <w:lang w:val="en-US" w:eastAsia="ja-JP"/>
        </w:rPr>
      </w:pPr>
      <w:r w:rsidRPr="001F3456">
        <w:rPr>
          <w:noProof/>
          <w:lang w:val="en-US" w:eastAsia="zh-CN"/>
        </w:rPr>
        <w:t>eMERGE Application case—balanced crystalloids and Saline</w:t>
      </w:r>
      <w:r>
        <w:rPr>
          <w:noProof/>
        </w:rPr>
        <w:tab/>
      </w:r>
      <w:r>
        <w:rPr>
          <w:noProof/>
        </w:rPr>
        <w:fldChar w:fldCharType="begin"/>
      </w:r>
      <w:r>
        <w:rPr>
          <w:noProof/>
        </w:rPr>
        <w:instrText xml:space="preserve"> PAGEREF _Toc427336635 \h </w:instrText>
      </w:r>
      <w:r>
        <w:rPr>
          <w:noProof/>
        </w:rPr>
      </w:r>
      <w:r>
        <w:rPr>
          <w:noProof/>
        </w:rPr>
        <w:fldChar w:fldCharType="separate"/>
      </w:r>
      <w:r>
        <w:rPr>
          <w:noProof/>
        </w:rPr>
        <w:t>3</w:t>
      </w:r>
      <w:r>
        <w:rPr>
          <w:noProof/>
        </w:rPr>
        <w:fldChar w:fldCharType="end"/>
      </w:r>
    </w:p>
    <w:p w14:paraId="541EB6C5" w14:textId="77777777" w:rsidR="00FF2FCB" w:rsidRDefault="00FF2FCB">
      <w:pPr>
        <w:pStyle w:val="TOC2"/>
        <w:tabs>
          <w:tab w:val="right" w:leader="dot" w:pos="10450"/>
        </w:tabs>
        <w:rPr>
          <w:b w:val="0"/>
          <w:noProof/>
          <w:sz w:val="24"/>
          <w:szCs w:val="24"/>
          <w:lang w:val="en-US" w:eastAsia="ja-JP"/>
        </w:rPr>
      </w:pPr>
      <w:r w:rsidRPr="001F3456">
        <w:rPr>
          <w:noProof/>
          <w:lang w:val="en-US" w:eastAsia="zh-CN"/>
        </w:rPr>
        <w:t>Geisnger</w:t>
      </w:r>
      <w:r>
        <w:rPr>
          <w:noProof/>
        </w:rPr>
        <w:tab/>
      </w:r>
      <w:r>
        <w:rPr>
          <w:noProof/>
        </w:rPr>
        <w:fldChar w:fldCharType="begin"/>
      </w:r>
      <w:r>
        <w:rPr>
          <w:noProof/>
        </w:rPr>
        <w:instrText xml:space="preserve"> PAGEREF _Toc427336636 \h </w:instrText>
      </w:r>
      <w:r>
        <w:rPr>
          <w:noProof/>
        </w:rPr>
      </w:r>
      <w:r>
        <w:rPr>
          <w:noProof/>
        </w:rPr>
        <w:fldChar w:fldCharType="separate"/>
      </w:r>
      <w:r>
        <w:rPr>
          <w:noProof/>
        </w:rPr>
        <w:t>3</w:t>
      </w:r>
      <w:r>
        <w:rPr>
          <w:noProof/>
        </w:rPr>
        <w:fldChar w:fldCharType="end"/>
      </w:r>
    </w:p>
    <w:p w14:paraId="39567B75" w14:textId="77777777" w:rsidR="00FF2FCB" w:rsidRDefault="00FF2FCB">
      <w:pPr>
        <w:pStyle w:val="TOC2"/>
        <w:tabs>
          <w:tab w:val="right" w:leader="dot" w:pos="10450"/>
        </w:tabs>
        <w:rPr>
          <w:b w:val="0"/>
          <w:noProof/>
          <w:sz w:val="24"/>
          <w:szCs w:val="24"/>
          <w:lang w:val="en-US" w:eastAsia="ja-JP"/>
        </w:rPr>
      </w:pPr>
      <w:r w:rsidRPr="001F3456">
        <w:rPr>
          <w:noProof/>
          <w:highlight w:val="yellow"/>
          <w:lang w:val="en-US" w:eastAsia="zh-CN"/>
        </w:rPr>
        <w:t>GERA</w:t>
      </w:r>
      <w:r>
        <w:rPr>
          <w:noProof/>
        </w:rPr>
        <w:tab/>
      </w:r>
      <w:r>
        <w:rPr>
          <w:noProof/>
        </w:rPr>
        <w:fldChar w:fldCharType="begin"/>
      </w:r>
      <w:r>
        <w:rPr>
          <w:noProof/>
        </w:rPr>
        <w:instrText xml:space="preserve"> PAGEREF _Toc427336637 \h </w:instrText>
      </w:r>
      <w:r>
        <w:rPr>
          <w:noProof/>
        </w:rPr>
      </w:r>
      <w:r>
        <w:rPr>
          <w:noProof/>
        </w:rPr>
        <w:fldChar w:fldCharType="separate"/>
      </w:r>
      <w:r>
        <w:rPr>
          <w:noProof/>
        </w:rPr>
        <w:t>3</w:t>
      </w:r>
      <w:r>
        <w:rPr>
          <w:noProof/>
        </w:rPr>
        <w:fldChar w:fldCharType="end"/>
      </w:r>
    </w:p>
    <w:p w14:paraId="45CB13D1" w14:textId="77777777" w:rsidR="00FF2FCB" w:rsidRDefault="00FF2FCB">
      <w:pPr>
        <w:pStyle w:val="TOC2"/>
        <w:tabs>
          <w:tab w:val="right" w:leader="dot" w:pos="10450"/>
        </w:tabs>
        <w:rPr>
          <w:b w:val="0"/>
          <w:noProof/>
          <w:sz w:val="24"/>
          <w:szCs w:val="24"/>
          <w:lang w:val="en-US" w:eastAsia="ja-JP"/>
        </w:rPr>
      </w:pPr>
      <w:r w:rsidRPr="001F3456">
        <w:rPr>
          <w:noProof/>
          <w:lang w:val="en-US" w:eastAsia="zh-CN"/>
        </w:rPr>
        <w:t>Partners Healthcare System</w:t>
      </w:r>
      <w:r>
        <w:rPr>
          <w:noProof/>
        </w:rPr>
        <w:tab/>
      </w:r>
      <w:r>
        <w:rPr>
          <w:noProof/>
        </w:rPr>
        <w:fldChar w:fldCharType="begin"/>
      </w:r>
      <w:r>
        <w:rPr>
          <w:noProof/>
        </w:rPr>
        <w:instrText xml:space="preserve"> PAGEREF _Toc427336638 \h </w:instrText>
      </w:r>
      <w:r>
        <w:rPr>
          <w:noProof/>
        </w:rPr>
      </w:r>
      <w:r>
        <w:rPr>
          <w:noProof/>
        </w:rPr>
        <w:fldChar w:fldCharType="separate"/>
      </w:r>
      <w:r>
        <w:rPr>
          <w:noProof/>
        </w:rPr>
        <w:t>4</w:t>
      </w:r>
      <w:r>
        <w:rPr>
          <w:noProof/>
        </w:rPr>
        <w:fldChar w:fldCharType="end"/>
      </w:r>
    </w:p>
    <w:p w14:paraId="1AC40A60" w14:textId="77777777" w:rsidR="00FF2FCB" w:rsidRDefault="00FF2FCB">
      <w:pPr>
        <w:pStyle w:val="TOC2"/>
        <w:tabs>
          <w:tab w:val="right" w:leader="dot" w:pos="10450"/>
        </w:tabs>
        <w:rPr>
          <w:b w:val="0"/>
          <w:noProof/>
          <w:sz w:val="24"/>
          <w:szCs w:val="24"/>
          <w:lang w:val="en-US" w:eastAsia="ja-JP"/>
        </w:rPr>
      </w:pPr>
      <w:r w:rsidRPr="001F3456">
        <w:rPr>
          <w:rFonts w:hint="eastAsia"/>
          <w:noProof/>
          <w:lang w:val="en-US" w:eastAsia="zh-CN"/>
        </w:rPr>
        <w:t>自然</w:t>
      </w:r>
      <w:r w:rsidRPr="001F3456">
        <w:rPr>
          <w:rFonts w:ascii="宋体" w:eastAsia="宋体" w:hAnsi="宋体" w:cs="宋体" w:hint="eastAsia"/>
          <w:noProof/>
          <w:lang w:val="en-US" w:eastAsia="zh-CN"/>
        </w:rPr>
        <w:t>语</w:t>
      </w:r>
      <w:r w:rsidRPr="001F3456">
        <w:rPr>
          <w:rFonts w:hint="eastAsia"/>
          <w:noProof/>
          <w:lang w:val="en-US" w:eastAsia="zh-CN"/>
        </w:rPr>
        <w:t>言</w:t>
      </w:r>
      <w:r w:rsidRPr="001F3456">
        <w:rPr>
          <w:rFonts w:ascii="宋体" w:eastAsia="宋体" w:hAnsi="宋体" w:cs="宋体" w:hint="eastAsia"/>
          <w:noProof/>
          <w:lang w:val="en-US" w:eastAsia="zh-CN"/>
        </w:rPr>
        <w:t>处</w:t>
      </w:r>
      <w:r w:rsidRPr="001F3456">
        <w:rPr>
          <w:rFonts w:hint="eastAsia"/>
          <w:noProof/>
          <w:lang w:val="en-US" w:eastAsia="zh-CN"/>
        </w:rPr>
        <w:t>理</w:t>
      </w:r>
      <w:r>
        <w:rPr>
          <w:noProof/>
        </w:rPr>
        <w:tab/>
      </w:r>
      <w:r>
        <w:rPr>
          <w:noProof/>
        </w:rPr>
        <w:fldChar w:fldCharType="begin"/>
      </w:r>
      <w:r>
        <w:rPr>
          <w:noProof/>
        </w:rPr>
        <w:instrText xml:space="preserve"> PAGEREF _Toc427336639 \h </w:instrText>
      </w:r>
      <w:r>
        <w:rPr>
          <w:noProof/>
        </w:rPr>
      </w:r>
      <w:r>
        <w:rPr>
          <w:noProof/>
        </w:rPr>
        <w:fldChar w:fldCharType="separate"/>
      </w:r>
      <w:r>
        <w:rPr>
          <w:noProof/>
        </w:rPr>
        <w:t>4</w:t>
      </w:r>
      <w:r>
        <w:rPr>
          <w:noProof/>
        </w:rPr>
        <w:fldChar w:fldCharType="end"/>
      </w:r>
    </w:p>
    <w:p w14:paraId="6DCEC95B" w14:textId="77777777" w:rsidR="00FF2FCB" w:rsidRDefault="00FF2FCB">
      <w:pPr>
        <w:pStyle w:val="TOC1"/>
        <w:tabs>
          <w:tab w:val="right" w:leader="dot" w:pos="10450"/>
        </w:tabs>
        <w:rPr>
          <w:b w:val="0"/>
          <w:noProof/>
          <w:lang w:val="en-US" w:eastAsia="ja-JP"/>
        </w:rPr>
      </w:pPr>
      <w:r w:rsidRPr="001F3456">
        <w:rPr>
          <w:noProof/>
          <w:lang w:val="en-US" w:eastAsia="zh-CN"/>
        </w:rPr>
        <w:t>Chapter 2 AI</w:t>
      </w:r>
      <w:r>
        <w:rPr>
          <w:noProof/>
        </w:rPr>
        <w:tab/>
      </w:r>
      <w:r>
        <w:rPr>
          <w:noProof/>
        </w:rPr>
        <w:fldChar w:fldCharType="begin"/>
      </w:r>
      <w:r>
        <w:rPr>
          <w:noProof/>
        </w:rPr>
        <w:instrText xml:space="preserve"> PAGEREF _Toc427336640 \h </w:instrText>
      </w:r>
      <w:r>
        <w:rPr>
          <w:noProof/>
        </w:rPr>
      </w:r>
      <w:r>
        <w:rPr>
          <w:noProof/>
        </w:rPr>
        <w:fldChar w:fldCharType="separate"/>
      </w:r>
      <w:r>
        <w:rPr>
          <w:noProof/>
        </w:rPr>
        <w:t>5</w:t>
      </w:r>
      <w:r>
        <w:rPr>
          <w:noProof/>
        </w:rPr>
        <w:fldChar w:fldCharType="end"/>
      </w:r>
    </w:p>
    <w:p w14:paraId="310FA903" w14:textId="77777777" w:rsidR="00FF2FCB" w:rsidRDefault="00FF2FCB">
      <w:pPr>
        <w:pStyle w:val="TOC2"/>
        <w:tabs>
          <w:tab w:val="right" w:leader="dot" w:pos="10450"/>
        </w:tabs>
        <w:rPr>
          <w:b w:val="0"/>
          <w:noProof/>
          <w:sz w:val="24"/>
          <w:szCs w:val="24"/>
          <w:lang w:val="en-US" w:eastAsia="ja-JP"/>
        </w:rPr>
      </w:pPr>
      <w:r w:rsidRPr="001F3456">
        <w:rPr>
          <w:noProof/>
          <w:lang w:val="en-US" w:eastAsia="zh-CN"/>
        </w:rPr>
        <w:t>Google Brain AI</w:t>
      </w:r>
      <w:r>
        <w:rPr>
          <w:noProof/>
        </w:rPr>
        <w:tab/>
      </w:r>
      <w:r>
        <w:rPr>
          <w:noProof/>
        </w:rPr>
        <w:fldChar w:fldCharType="begin"/>
      </w:r>
      <w:r>
        <w:rPr>
          <w:noProof/>
        </w:rPr>
        <w:instrText xml:space="preserve"> PAGEREF _Toc427336641 \h </w:instrText>
      </w:r>
      <w:r>
        <w:rPr>
          <w:noProof/>
        </w:rPr>
      </w:r>
      <w:r>
        <w:rPr>
          <w:noProof/>
        </w:rPr>
        <w:fldChar w:fldCharType="separate"/>
      </w:r>
      <w:r>
        <w:rPr>
          <w:noProof/>
        </w:rPr>
        <w:t>5</w:t>
      </w:r>
      <w:r>
        <w:rPr>
          <w:noProof/>
        </w:rPr>
        <w:fldChar w:fldCharType="end"/>
      </w:r>
    </w:p>
    <w:p w14:paraId="1DBA397D" w14:textId="77777777" w:rsidR="00B4592B" w:rsidRDefault="00B4592B">
      <w:pPr>
        <w:rPr>
          <w:b/>
          <w:sz w:val="32"/>
          <w:szCs w:val="32"/>
          <w:u w:val="single"/>
        </w:rPr>
      </w:pPr>
      <w:r>
        <w:rPr>
          <w:b/>
          <w:sz w:val="32"/>
          <w:szCs w:val="32"/>
          <w:u w:val="single"/>
        </w:rPr>
        <w:fldChar w:fldCharType="end"/>
      </w:r>
    </w:p>
    <w:p w14:paraId="751954CB" w14:textId="205669E0" w:rsidR="00B4592B" w:rsidRDefault="00B4592B">
      <w:pPr>
        <w:rPr>
          <w:b/>
          <w:sz w:val="32"/>
          <w:szCs w:val="32"/>
          <w:u w:val="single"/>
        </w:rPr>
      </w:pPr>
      <w:r>
        <w:rPr>
          <w:b/>
          <w:sz w:val="32"/>
          <w:szCs w:val="32"/>
          <w:u w:val="single"/>
        </w:rPr>
        <w:br w:type="page"/>
      </w:r>
    </w:p>
    <w:p w14:paraId="2E287DEF" w14:textId="77777777" w:rsidR="004E2365" w:rsidRDefault="004E2365" w:rsidP="00156EC5">
      <w:pPr>
        <w:jc w:val="center"/>
        <w:rPr>
          <w:b/>
          <w:sz w:val="32"/>
          <w:szCs w:val="32"/>
          <w:u w:val="single"/>
        </w:rPr>
      </w:pPr>
    </w:p>
    <w:p w14:paraId="6273FF35" w14:textId="6CCBC574" w:rsidR="00B4592B" w:rsidRPr="00B4592B" w:rsidRDefault="00B4592B" w:rsidP="00B4592B">
      <w:pPr>
        <w:pStyle w:val="Heading1"/>
      </w:pPr>
      <w:bookmarkStart w:id="0" w:name="_Toc427336632"/>
      <w:r>
        <w:t>Chapter I EMR construction</w:t>
      </w:r>
      <w:bookmarkEnd w:id="0"/>
    </w:p>
    <w:p w14:paraId="1A8AE691" w14:textId="07EB4B65" w:rsidR="00B4592B" w:rsidRDefault="00103F65">
      <w:pPr>
        <w:rPr>
          <w:lang w:val="en-US" w:eastAsia="zh-CN"/>
        </w:rPr>
      </w:pPr>
      <w:r>
        <w:rPr>
          <w:lang w:val="en-US" w:eastAsia="zh-CN"/>
        </w:rPr>
        <w:t>EMR</w:t>
      </w:r>
      <w:r>
        <w:rPr>
          <w:rFonts w:ascii="宋体" w:eastAsia="宋体" w:hAnsi="宋体" w:cs="宋体" w:hint="eastAsia"/>
          <w:lang w:val="en-US" w:eastAsia="zh-CN"/>
        </w:rPr>
        <w:t>连</w:t>
      </w:r>
      <w:r>
        <w:rPr>
          <w:rFonts w:hint="eastAsia"/>
          <w:lang w:val="en-US" w:eastAsia="zh-CN"/>
        </w:rPr>
        <w:t>接的是病人，医生，以及医</w:t>
      </w:r>
      <w:r>
        <w:rPr>
          <w:rFonts w:ascii="宋体" w:eastAsia="宋体" w:hAnsi="宋体" w:cs="宋体" w:hint="eastAsia"/>
          <w:lang w:val="en-US" w:eastAsia="zh-CN"/>
        </w:rPr>
        <w:t>疗</w:t>
      </w:r>
      <w:r>
        <w:rPr>
          <w:rFonts w:hint="eastAsia"/>
          <w:lang w:val="en-US" w:eastAsia="zh-CN"/>
        </w:rPr>
        <w:t>系</w:t>
      </w:r>
      <w:r>
        <w:rPr>
          <w:rFonts w:ascii="宋体" w:eastAsia="宋体" w:hAnsi="宋体" w:cs="宋体" w:hint="eastAsia"/>
          <w:lang w:val="en-US" w:eastAsia="zh-CN"/>
        </w:rPr>
        <w:t>统</w:t>
      </w:r>
      <w:r>
        <w:rPr>
          <w:rFonts w:hint="eastAsia"/>
          <w:lang w:val="en-US" w:eastAsia="zh-CN"/>
        </w:rPr>
        <w:t>本身。</w:t>
      </w:r>
    </w:p>
    <w:p w14:paraId="18CADB29" w14:textId="77777777" w:rsidR="00103F65" w:rsidRDefault="00103F65">
      <w:pPr>
        <w:rPr>
          <w:lang w:val="en-US" w:eastAsia="zh-CN"/>
        </w:rPr>
      </w:pPr>
    </w:p>
    <w:p w14:paraId="5DBC16C0" w14:textId="42CFD858" w:rsidR="00B4592B" w:rsidRDefault="00B4592B" w:rsidP="00B4592B">
      <w:pPr>
        <w:pStyle w:val="Heading3"/>
        <w:rPr>
          <w:lang w:val="en-US" w:eastAsia="zh-CN"/>
        </w:rPr>
      </w:pPr>
      <w:bookmarkStart w:id="1" w:name="_Toc427336633"/>
      <w:proofErr w:type="spellStart"/>
      <w:r>
        <w:rPr>
          <w:lang w:val="en-US" w:eastAsia="zh-CN"/>
        </w:rPr>
        <w:t>eMERGE</w:t>
      </w:r>
      <w:proofErr w:type="spellEnd"/>
      <w:r>
        <w:rPr>
          <w:lang w:val="en-US" w:eastAsia="zh-CN"/>
        </w:rPr>
        <w:t xml:space="preserve"> Phase I</w:t>
      </w:r>
      <w:bookmarkEnd w:id="1"/>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p>
    <w:p w14:paraId="3A3B9333" w14:textId="77777777" w:rsidR="00B4592B" w:rsidRDefault="00B4592B">
      <w:pPr>
        <w:rPr>
          <w:lang w:val="en-US" w:eastAsia="zh-CN"/>
        </w:rPr>
      </w:pPr>
    </w:p>
    <w:p w14:paraId="239493D0" w14:textId="40F2C2B0" w:rsidR="00156EC5" w:rsidRPr="00156EC5" w:rsidRDefault="00156EC5" w:rsidP="00B404F6">
      <w:pPr>
        <w:jc w:val="cente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r w:rsidR="00F77B4A">
        <w:rPr>
          <w:b/>
          <w:u w:val="single"/>
          <w:lang w:val="en-US" w:eastAsia="zh-CN"/>
        </w:rPr>
        <w:t>-Vanderbilt University</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5113C688" w:rsidR="00156EC5" w:rsidRDefault="00806920">
      <w:pPr>
        <w:rPr>
          <w:lang w:val="en-US" w:eastAsia="zh-CN"/>
        </w:rPr>
      </w:pPr>
      <w:r w:rsidRPr="00882A33">
        <w:rPr>
          <w:highlight w:val="yellow"/>
          <w:lang w:val="en-US" w:eastAsia="zh-CN"/>
        </w:rPr>
        <w:t>CHOP</w:t>
      </w:r>
      <w:r w:rsidR="00DB70B4">
        <w:rPr>
          <w:lang w:val="en-US" w:eastAsia="zh-CN"/>
        </w:rPr>
        <w:t xml:space="preserve"> [Children’s hospital of Philadelphia]</w:t>
      </w:r>
      <w:r>
        <w:rPr>
          <w:lang w:val="en-US" w:eastAsia="zh-CN"/>
        </w:rPr>
        <w:t xml:space="preserve">, </w:t>
      </w:r>
      <w:r w:rsidRPr="00882A33">
        <w:rPr>
          <w:highlight w:val="yellow"/>
          <w:lang w:val="en-US" w:eastAsia="zh-CN"/>
        </w:rPr>
        <w:t>GHC &amp; U Wash</w:t>
      </w:r>
      <w:r>
        <w:rPr>
          <w:lang w:val="en-US" w:eastAsia="zh-CN"/>
        </w:rPr>
        <w:t xml:space="preserve">, </w:t>
      </w:r>
      <w:r w:rsidRPr="00882A33">
        <w:rPr>
          <w:highlight w:val="yellow"/>
          <w:lang w:val="en-US" w:eastAsia="zh-CN"/>
        </w:rPr>
        <w:t>Mount Sinai</w:t>
      </w:r>
      <w:r>
        <w:rPr>
          <w:lang w:val="en-US" w:eastAsia="zh-CN"/>
        </w:rPr>
        <w:t xml:space="preserve">, </w:t>
      </w:r>
      <w:r w:rsidRPr="00882A33">
        <w:rPr>
          <w:highlight w:val="yellow"/>
          <w:lang w:val="en-US" w:eastAsia="zh-CN"/>
        </w:rPr>
        <w:t>CCHMC &amp; BCH</w:t>
      </w:r>
      <w:r w:rsidR="00DB70B4">
        <w:rPr>
          <w:lang w:val="en-US" w:eastAsia="zh-CN"/>
        </w:rPr>
        <w:t xml:space="preserve"> [Cincinnati Children’s Hospital Medical Center with Boston Children’s Hospital]</w:t>
      </w:r>
      <w:r>
        <w:rPr>
          <w:lang w:val="en-US" w:eastAsia="zh-CN"/>
        </w:rPr>
        <w:t xml:space="preserve">, </w:t>
      </w:r>
      <w:r w:rsidRPr="00882A33">
        <w:rPr>
          <w:highlight w:val="yellow"/>
          <w:lang w:val="en-US" w:eastAsia="zh-CN"/>
        </w:rPr>
        <w:t xml:space="preserve">Marshfield &amp; </w:t>
      </w:r>
      <w:proofErr w:type="spellStart"/>
      <w:r w:rsidRPr="00882A33">
        <w:rPr>
          <w:highlight w:val="yellow"/>
          <w:lang w:val="en-US" w:eastAsia="zh-CN"/>
        </w:rPr>
        <w:t>Essentia</w:t>
      </w:r>
      <w:proofErr w:type="spellEnd"/>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69D2DFF" w14:textId="6DEBFBE2" w:rsidR="00BF396E" w:rsidRDefault="00BF396E" w:rsidP="00806920">
      <w:pPr>
        <w:widowControl w:val="0"/>
        <w:autoSpaceDE w:val="0"/>
        <w:autoSpaceDN w:val="0"/>
        <w:adjustRightInd w:val="0"/>
        <w:ind w:left="640" w:hanging="640"/>
        <w:rPr>
          <w:lang w:val="en-US" w:eastAsia="zh-CN"/>
        </w:rPr>
      </w:pP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3CACE833"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4E2365">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eviouslyFormattedCitation":"&lt;sup&gt;3&lt;/sup&gt;"},"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r w:rsidR="00B14A3C">
        <w:rPr>
          <w:lang w:val="en-US" w:eastAsia="zh-CN"/>
        </w:rPr>
        <w:t xml:space="preserve">. Turner syndrome, </w:t>
      </w:r>
      <w:proofErr w:type="spellStart"/>
      <w:r w:rsidR="00B14A3C">
        <w:rPr>
          <w:lang w:val="en-US" w:eastAsia="zh-CN"/>
        </w:rPr>
        <w:t>Klinefelter</w:t>
      </w:r>
      <w:proofErr w:type="spellEnd"/>
      <w:r w:rsidR="00B14A3C">
        <w:rPr>
          <w:lang w:val="en-US" w:eastAsia="zh-CN"/>
        </w:rPr>
        <w:t xml:space="preserve"> syndrome, FVL, hereditary hemochromatosis</w:t>
      </w:r>
      <w:r w:rsidR="00D86025">
        <w:rPr>
          <w:rFonts w:hint="eastAsia"/>
          <w:lang w:val="en-US" w:eastAsia="zh-CN"/>
        </w:rPr>
        <w:t xml:space="preserve">. There is no clear agreement how </w:t>
      </w:r>
      <w:r w:rsidR="00D86025">
        <w:rPr>
          <w:lang w:val="en-US" w:eastAsia="zh-CN"/>
        </w:rPr>
        <w:t>the finding should be returned. In some case, the clinically actionable results identified in EMR was already known. “In some case, health records shed light on ambiguous findings, increasing the likelihood that some findings represented acquired rather than congenital genetic changes.”</w:t>
      </w:r>
    </w:p>
    <w:p w14:paraId="262426F3" w14:textId="77777777" w:rsidR="00B14A3C" w:rsidRDefault="00B14A3C">
      <w:pPr>
        <w:rPr>
          <w:lang w:val="en-US" w:eastAsia="zh-CN"/>
        </w:rPr>
      </w:pPr>
    </w:p>
    <w:p w14:paraId="578663F8" w14:textId="77777777" w:rsidR="00DB70B4" w:rsidRDefault="00DB70B4">
      <w:pPr>
        <w:rPr>
          <w:lang w:val="en-US" w:eastAsia="zh-CN"/>
        </w:rPr>
      </w:pPr>
    </w:p>
    <w:p w14:paraId="59B60ABE" w14:textId="3AAB8388" w:rsidR="00DB70B4" w:rsidRPr="00755FAC" w:rsidRDefault="00B4592B" w:rsidP="00B4592B">
      <w:pPr>
        <w:pStyle w:val="Heading3"/>
        <w:rPr>
          <w:lang w:val="en-US" w:eastAsia="zh-CN"/>
        </w:rPr>
      </w:pPr>
      <w:bookmarkStart w:id="2" w:name="_Toc427336634"/>
      <w:r>
        <w:rPr>
          <w:lang w:val="en-US" w:eastAsia="zh-CN"/>
        </w:rPr>
        <w:t xml:space="preserve">EMR </w:t>
      </w:r>
      <w:r w:rsidR="00DB70B4" w:rsidRPr="00755FAC">
        <w:rPr>
          <w:lang w:val="en-US" w:eastAsia="zh-CN"/>
        </w:rPr>
        <w:t>Phase II [</w:t>
      </w:r>
      <w:proofErr w:type="spellStart"/>
      <w:r w:rsidR="00DB70B4" w:rsidRPr="00755FAC">
        <w:rPr>
          <w:lang w:val="en-US" w:eastAsia="zh-CN"/>
        </w:rPr>
        <w:t>eMERGE</w:t>
      </w:r>
      <w:proofErr w:type="spellEnd"/>
      <w:r w:rsidR="00DB70B4" w:rsidRPr="00755FAC">
        <w:rPr>
          <w:lang w:val="en-US" w:eastAsia="zh-CN"/>
        </w:rPr>
        <w:t>-II]</w:t>
      </w:r>
      <w:bookmarkEnd w:id="2"/>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1C469AEA" w:rsidR="00755FAC" w:rsidRPr="004E2365" w:rsidRDefault="004E2365">
      <w:pPr>
        <w:rPr>
          <w:b/>
          <w:lang w:val="en-US" w:eastAsia="zh-CN"/>
        </w:rPr>
      </w:pPr>
      <w:r>
        <w:rPr>
          <w:b/>
          <w:lang w:val="en-US" w:eastAsia="zh-CN"/>
        </w:rPr>
        <w:t>Lessons</w:t>
      </w:r>
    </w:p>
    <w:p w14:paraId="3088A49A" w14:textId="77777777" w:rsidR="00755FAC" w:rsidRPr="004E2365" w:rsidRDefault="00755FAC">
      <w:pPr>
        <w:rPr>
          <w:lang w:val="en-US" w:eastAsia="zh-CN"/>
        </w:rPr>
      </w:pPr>
      <w:r w:rsidRPr="004E2365">
        <w:rPr>
          <w:lang w:val="en-US" w:eastAsia="zh-CN"/>
        </w:rPr>
        <w:t xml:space="preserve">1 Portability of electronic phenotypes within and outside </w:t>
      </w:r>
      <w:proofErr w:type="spellStart"/>
      <w:r w:rsidRPr="004E2365">
        <w:rPr>
          <w:lang w:val="en-US" w:eastAsia="zh-CN"/>
        </w:rPr>
        <w:t>eMERGE</w:t>
      </w:r>
      <w:proofErr w:type="spellEnd"/>
    </w:p>
    <w:p w14:paraId="051F77D3" w14:textId="77777777" w:rsidR="00755FAC" w:rsidRPr="004E2365" w:rsidRDefault="00755FAC">
      <w:pPr>
        <w:rPr>
          <w:lang w:val="en-US" w:eastAsia="zh-CN"/>
        </w:rPr>
      </w:pPr>
      <w:r w:rsidRPr="004E2365">
        <w:rPr>
          <w:lang w:val="en-US" w:eastAsia="zh-CN"/>
        </w:rPr>
        <w:t xml:space="preserve">“There is currently no formal </w:t>
      </w:r>
      <w:proofErr w:type="spellStart"/>
      <w:r w:rsidRPr="004E2365">
        <w:rPr>
          <w:lang w:val="en-US" w:eastAsia="zh-CN"/>
        </w:rPr>
        <w:t>phenotyping</w:t>
      </w:r>
      <w:proofErr w:type="spellEnd"/>
      <w:r w:rsidRPr="004E2365">
        <w:rPr>
          <w:lang w:val="en-US" w:eastAsia="zh-CN"/>
        </w:rPr>
        <w:t xml:space="preserve"> language for the purpose of building EMR </w:t>
      </w:r>
      <w:proofErr w:type="spellStart"/>
      <w:r w:rsidRPr="004E2365">
        <w:rPr>
          <w:lang w:val="en-US" w:eastAsia="zh-CN"/>
        </w:rPr>
        <w:t>phenotyping</w:t>
      </w:r>
      <w:proofErr w:type="spellEnd"/>
      <w:r w:rsidRPr="004E2365">
        <w:rPr>
          <w:lang w:val="en-US" w:eastAsia="zh-CN"/>
        </w:rPr>
        <w:t xml:space="preserve"> algorithms nor is their a common approach to their implementation.</w:t>
      </w:r>
    </w:p>
    <w:p w14:paraId="23447EE5" w14:textId="77777777" w:rsidR="00755FAC" w:rsidRPr="004E2365" w:rsidRDefault="00854EF8">
      <w:pPr>
        <w:rPr>
          <w:lang w:val="en-US" w:eastAsia="zh-CN"/>
        </w:rPr>
      </w:pPr>
      <w:r w:rsidRPr="004E2365">
        <w:rPr>
          <w:lang w:val="en-US" w:eastAsia="zh-CN"/>
        </w:rPr>
        <w:t>2 Approaches to EMR int</w:t>
      </w:r>
      <w:r w:rsidR="00755FAC" w:rsidRPr="004E2365">
        <w:rPr>
          <w:lang w:val="en-US" w:eastAsia="zh-CN"/>
        </w:rPr>
        <w:t>egration of genomic information</w:t>
      </w:r>
    </w:p>
    <w:p w14:paraId="15C4D53C" w14:textId="77777777" w:rsidR="00854EF8" w:rsidRPr="004E2365" w:rsidRDefault="00854EF8">
      <w:pPr>
        <w:rPr>
          <w:lang w:val="en-US" w:eastAsia="zh-CN"/>
        </w:rPr>
      </w:pPr>
      <w:r w:rsidRPr="004E2365">
        <w:rPr>
          <w:lang w:val="en-US" w:eastAsia="zh-CN"/>
        </w:rPr>
        <w:t>3 Integration of pediatric sites</w:t>
      </w:r>
    </w:p>
    <w:p w14:paraId="3B35218F" w14:textId="77777777" w:rsidR="00854EF8" w:rsidRPr="004E2365" w:rsidRDefault="00854EF8">
      <w:pPr>
        <w:rPr>
          <w:lang w:val="en-US" w:eastAsia="zh-CN"/>
        </w:rPr>
      </w:pPr>
      <w:r w:rsidRPr="004E2365">
        <w:rPr>
          <w:lang w:val="en-US" w:eastAsia="zh-CN"/>
        </w:rPr>
        <w:t>4 Longitudinal cost-effective genomic medicine discovery and implementation</w:t>
      </w:r>
    </w:p>
    <w:p w14:paraId="00553EB9" w14:textId="77777777" w:rsidR="00854EF8" w:rsidRPr="004E2365" w:rsidRDefault="00854EF8">
      <w:pPr>
        <w:rPr>
          <w:lang w:val="en-US" w:eastAsia="zh-CN"/>
        </w:rPr>
      </w:pPr>
      <w:r w:rsidRPr="004E2365">
        <w:rPr>
          <w:lang w:val="en-US" w:eastAsia="zh-CN"/>
        </w:rPr>
        <w:t>5 Generalized framework for the return of genomic results</w:t>
      </w:r>
    </w:p>
    <w:p w14:paraId="6153F587" w14:textId="77777777" w:rsidR="00854EF8" w:rsidRPr="004E2365" w:rsidRDefault="00854EF8">
      <w:pPr>
        <w:rPr>
          <w:lang w:val="en-US" w:eastAsia="zh-CN"/>
        </w:rPr>
      </w:pPr>
      <w:r w:rsidRPr="004E2365">
        <w:rPr>
          <w:lang w:val="en-US" w:eastAsia="zh-CN"/>
        </w:rPr>
        <w:t xml:space="preserve">6 The </w:t>
      </w:r>
      <w:proofErr w:type="spellStart"/>
      <w:r w:rsidRPr="004E2365">
        <w:rPr>
          <w:lang w:val="en-US" w:eastAsia="zh-CN"/>
        </w:rPr>
        <w:t>eMERGE</w:t>
      </w:r>
      <w:proofErr w:type="spellEnd"/>
      <w:r w:rsidRPr="004E2365">
        <w:rPr>
          <w:lang w:val="en-US" w:eastAsia="zh-CN"/>
        </w:rPr>
        <w:t xml:space="preserve"> network in the context of a translational framework. </w:t>
      </w:r>
      <w:r w:rsidRPr="004E2365">
        <w:rPr>
          <w:lang w:val="en-US" w:eastAsia="zh-CN"/>
        </w:rPr>
        <w:br/>
        <w:t>T0: early phases focusing of biologic discoveries (</w:t>
      </w:r>
      <w:proofErr w:type="spellStart"/>
      <w:r w:rsidRPr="004E2365">
        <w:rPr>
          <w:lang w:val="en-US" w:eastAsia="zh-CN"/>
        </w:rPr>
        <w:t>eMERGE</w:t>
      </w:r>
      <w:proofErr w:type="spellEnd"/>
      <w:r w:rsidRPr="004E2365">
        <w:rPr>
          <w:lang w:val="en-US" w:eastAsia="zh-CN"/>
        </w:rPr>
        <w:t>-I focused large on T0)</w:t>
      </w:r>
      <w:r w:rsidRPr="004E2365">
        <w:rPr>
          <w:lang w:val="en-US" w:eastAsia="zh-CN"/>
        </w:rPr>
        <w:br/>
        <w:t>T1: development of candidate health applications (</w:t>
      </w:r>
      <w:proofErr w:type="spellStart"/>
      <w:r w:rsidRPr="004E2365">
        <w:rPr>
          <w:lang w:val="en-US" w:eastAsia="zh-CN"/>
        </w:rPr>
        <w:t>eMERGE</w:t>
      </w:r>
      <w:proofErr w:type="spellEnd"/>
      <w:r w:rsidRPr="004E2365">
        <w:rPr>
          <w:lang w:val="en-US" w:eastAsia="zh-CN"/>
        </w:rPr>
        <w:t>-II)</w:t>
      </w:r>
    </w:p>
    <w:p w14:paraId="6CFF3055" w14:textId="77777777" w:rsidR="00854EF8" w:rsidRPr="004E2365" w:rsidRDefault="00854EF8">
      <w:pPr>
        <w:rPr>
          <w:lang w:val="en-US" w:eastAsia="zh-CN"/>
        </w:rPr>
      </w:pPr>
      <w:r w:rsidRPr="004E2365">
        <w:rPr>
          <w:lang w:val="en-US" w:eastAsia="zh-CN"/>
        </w:rPr>
        <w:t xml:space="preserve">T2: assessing outcomes of </w:t>
      </w:r>
      <w:proofErr w:type="spellStart"/>
      <w:r w:rsidRPr="004E2365">
        <w:rPr>
          <w:lang w:val="en-US" w:eastAsia="zh-CN"/>
        </w:rPr>
        <w:t>intervertions</w:t>
      </w:r>
      <w:proofErr w:type="spellEnd"/>
    </w:p>
    <w:p w14:paraId="14EE1183" w14:textId="77777777" w:rsidR="00854EF8" w:rsidRPr="004E2365" w:rsidRDefault="00854EF8">
      <w:pPr>
        <w:rPr>
          <w:lang w:val="en-US" w:eastAsia="zh-CN"/>
        </w:rPr>
      </w:pPr>
      <w:r w:rsidRPr="004E2365">
        <w:rPr>
          <w:lang w:val="en-US" w:eastAsia="zh-CN"/>
        </w:rPr>
        <w:t>T3: move genomic findings into health practice.</w:t>
      </w:r>
    </w:p>
    <w:p w14:paraId="0C227FF9" w14:textId="542E3ED4" w:rsidR="00854EF8" w:rsidRPr="004E2365" w:rsidRDefault="00854EF8">
      <w:pPr>
        <w:rPr>
          <w:lang w:val="en-US" w:eastAsia="zh-CN"/>
        </w:rPr>
      </w:pPr>
      <w:r w:rsidRPr="004E2365">
        <w:rPr>
          <w:lang w:val="en-US" w:eastAsia="zh-CN"/>
        </w:rPr>
        <w:t xml:space="preserve">T4: public health </w:t>
      </w:r>
      <w:r w:rsidR="00B14A3C" w:rsidRPr="004E2365">
        <w:rPr>
          <w:lang w:val="en-US" w:eastAsia="zh-CN"/>
        </w:rPr>
        <w:t>surveillance</w:t>
      </w:r>
    </w:p>
    <w:p w14:paraId="112AF4A8" w14:textId="77777777" w:rsidR="00B14A3C" w:rsidRDefault="00B14A3C">
      <w:pPr>
        <w:rPr>
          <w:b/>
          <w:lang w:val="en-US" w:eastAsia="zh-CN"/>
        </w:rPr>
      </w:pPr>
    </w:p>
    <w:p w14:paraId="3C23B7D3" w14:textId="6C5928A3" w:rsidR="00F77B4A" w:rsidRDefault="00B4592B" w:rsidP="00B4592B">
      <w:pPr>
        <w:pStyle w:val="Heading3"/>
        <w:rPr>
          <w:lang w:val="en-US" w:eastAsia="zh-CN"/>
        </w:rPr>
      </w:pPr>
      <w:bookmarkStart w:id="3" w:name="_Toc427336635"/>
      <w:proofErr w:type="spellStart"/>
      <w:r>
        <w:rPr>
          <w:lang w:val="en-US" w:eastAsia="zh-CN"/>
        </w:rPr>
        <w:t>eMERGE</w:t>
      </w:r>
      <w:proofErr w:type="spellEnd"/>
      <w:r>
        <w:rPr>
          <w:lang w:val="en-US" w:eastAsia="zh-CN"/>
        </w:rPr>
        <w:t xml:space="preserve"> </w:t>
      </w:r>
      <w:r w:rsidR="00F77B4A">
        <w:rPr>
          <w:lang w:val="en-US" w:eastAsia="zh-CN"/>
        </w:rPr>
        <w:t>Application case</w:t>
      </w:r>
      <w:r>
        <w:rPr>
          <w:lang w:val="en-US" w:eastAsia="zh-CN"/>
        </w:rPr>
        <w:t>—balanced crystalloids and Saline</w:t>
      </w:r>
      <w:bookmarkEnd w:id="3"/>
    </w:p>
    <w:p w14:paraId="0294823A" w14:textId="1678EF47" w:rsidR="0093022F" w:rsidRDefault="0093022F" w:rsidP="0093022F">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 xml:space="preserve">Balanced </w:t>
      </w:r>
      <w:r>
        <w:rPr>
          <w:rFonts w:ascii="宋体" w:eastAsia="宋体" w:hAnsi="宋体" w:cs="宋体"/>
          <w:sz w:val="24"/>
          <w:szCs w:val="24"/>
          <w:lang w:eastAsia="zh-CN"/>
        </w:rPr>
        <w:t>crystal</w:t>
      </w:r>
      <w:r>
        <w:rPr>
          <w:rFonts w:ascii="宋体" w:eastAsia="宋体" w:hAnsi="宋体" w:cs="宋体" w:hint="eastAsia"/>
          <w:sz w:val="24"/>
          <w:szCs w:val="24"/>
          <w:lang w:eastAsia="zh-CN"/>
        </w:rPr>
        <w:t>loids与生理盐水Saline一直在临床使用上有争议，但差异可能比较小，而要组织能够区分这类差异的临床试验比较困难。之前两者的差异一直基于生理角度分析，而EMR的出现，让大规模基于病人的循证医学成为一个选项。</w:t>
      </w:r>
    </w:p>
    <w:p w14:paraId="3901013E" w14:textId="3B5A365B" w:rsidR="00654631" w:rsidRPr="00654631" w:rsidRDefault="00654631" w:rsidP="00654631">
      <w:pPr>
        <w:pStyle w:val="NormalWeb"/>
        <w:spacing w:before="0" w:beforeAutospacing="0" w:after="0" w:afterAutospacing="0"/>
        <w:rPr>
          <w:sz w:val="24"/>
          <w:szCs w:val="24"/>
        </w:rPr>
      </w:pPr>
      <w:r>
        <w:rPr>
          <w:b/>
          <w:sz w:val="24"/>
          <w:szCs w:val="24"/>
          <w:highlight w:val="yellow"/>
          <w:u w:val="single"/>
        </w:rPr>
        <w:t xml:space="preserve">Case 1: </w:t>
      </w:r>
      <w:r w:rsidRPr="00654631">
        <w:rPr>
          <w:sz w:val="24"/>
          <w:szCs w:val="24"/>
        </w:rPr>
        <w:t>Balanced crystalloids versus saline in the intensive care unit: The SALT randomized trial</w:t>
      </w:r>
      <w:r>
        <w:rPr>
          <w:sz w:val="24"/>
          <w:szCs w:val="24"/>
        </w:rPr>
        <w:fldChar w:fldCharType="begin" w:fldLock="1"/>
      </w:r>
      <w:r w:rsidR="0093022F">
        <w:rPr>
          <w:sz w:val="24"/>
          <w:szCs w:val="24"/>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sz w:val="24"/>
          <w:szCs w:val="24"/>
        </w:rPr>
        <w:fldChar w:fldCharType="separate"/>
      </w:r>
      <w:r w:rsidRPr="00654631">
        <w:rPr>
          <w:noProof/>
          <w:sz w:val="24"/>
          <w:szCs w:val="24"/>
          <w:vertAlign w:val="superscript"/>
        </w:rPr>
        <w:t>4</w:t>
      </w:r>
      <w:r>
        <w:rPr>
          <w:sz w:val="24"/>
          <w:szCs w:val="24"/>
        </w:rPr>
        <w:fldChar w:fldCharType="end"/>
      </w:r>
      <w:r>
        <w:rPr>
          <w:sz w:val="24"/>
          <w:szCs w:val="24"/>
        </w:rPr>
        <w:t>. Data 2015/Feb/3~2015/May/31</w:t>
      </w:r>
    </w:p>
    <w:p w14:paraId="235E3950" w14:textId="70C98814" w:rsidR="00654631" w:rsidRDefault="00654631" w:rsidP="00F77B4A">
      <w:pPr>
        <w:pStyle w:val="NormalWeb"/>
        <w:spacing w:before="0" w:beforeAutospacing="0" w:after="0" w:afterAutospacing="0"/>
        <w:rPr>
          <w:b/>
          <w:sz w:val="24"/>
          <w:szCs w:val="24"/>
          <w:highlight w:val="yellow"/>
          <w:u w:val="single"/>
        </w:rPr>
      </w:pPr>
    </w:p>
    <w:p w14:paraId="099838D3" w14:textId="3D50CC97" w:rsidR="00654631" w:rsidRDefault="00654631" w:rsidP="00F77B4A">
      <w:pPr>
        <w:pStyle w:val="NormalWeb"/>
        <w:spacing w:before="0" w:beforeAutospacing="0" w:after="0" w:afterAutospacing="0"/>
        <w:rPr>
          <w:sz w:val="24"/>
          <w:szCs w:val="24"/>
        </w:rPr>
      </w:pPr>
      <w:r>
        <w:rPr>
          <w:b/>
          <w:sz w:val="24"/>
          <w:szCs w:val="24"/>
          <w:highlight w:val="yellow"/>
          <w:u w:val="single"/>
        </w:rPr>
        <w:t>Case 2</w:t>
      </w:r>
      <w:r w:rsidRPr="00654631">
        <w:rPr>
          <w:b/>
          <w:sz w:val="24"/>
          <w:szCs w:val="24"/>
          <w:highlight w:val="yellow"/>
          <w:u w:val="single"/>
        </w:rPr>
        <w:t>:</w:t>
      </w:r>
      <w:r>
        <w:rPr>
          <w:sz w:val="24"/>
          <w:szCs w:val="24"/>
          <w:highlight w:val="yellow"/>
        </w:rPr>
        <w:t xml:space="preserve"> </w:t>
      </w:r>
      <w:r w:rsidR="00F77B4A" w:rsidRPr="00654631">
        <w:rPr>
          <w:sz w:val="24"/>
          <w:szCs w:val="24"/>
          <w:highlight w:val="yellow"/>
        </w:rPr>
        <w:t>Balanced Crystalloids versus Saline in critically Ill Adults</w:t>
      </w:r>
      <w:r>
        <w:rPr>
          <w:sz w:val="24"/>
          <w:szCs w:val="24"/>
          <w:highlight w:val="yellow"/>
        </w:rPr>
        <w:fldChar w:fldCharType="begin" w:fldLock="1"/>
      </w:r>
      <w:r w:rsidR="0093022F">
        <w:rPr>
          <w:sz w:val="24"/>
          <w:szCs w:val="24"/>
          <w:highlight w:val="yellow"/>
        </w:rPr>
        <w:instrText>ADDIN CSL_CITATION {"citationItems":[{"id":"ITEM-1","itemData":{"DOI":"10.1056/NEJMoa1711586","ISBN":"0028-4793","ISSN":"01606689","PMID":"29485926","abstract":"Costs associated with the violation of accounting-based covenants in debt agreements are presumed to be material by both accounting regulators and researchers. The Financial Accounting Standards Board, for example, delayed the implementation of its pronouncement on pension reporting, SFAS No. 87, for two years to allow firms sufficient time to \"renegotiate or to obtain waivers of provisions of some legal contracts\" (FASB 1985, par. 260). Numerous studies in accounting research hypothesize that it is costly for firms to violate accounting covenants in debt agreements, and this supposition figures in research on such issues as the economic impact of mandated and voluntary accounting changes (see, e.g., Holthausen 1981; Leftwich 1981; Lys 1984) and the determinants of accounting choice (see, e.g., Trombley 1989; Zmijewski and Hagerman 1981). Although research in financial economics has studied some of the costs shareholders bear when there are debt service defaults or bankruptcy filings, the costs associated with technical violation-the violation of covenants other than debt service-have not been documented. This study investigates the costs of technical violation for a sample of 91 firms that violated accounting-based covenants in debt agreements between 1983 and 1987. The sample includes firms for which the technical violation was sufficiently material to merit disclosure. We provide direct evidence of refinancing and restructuring costs by examining changes in terms of debt agreements, and changes in investing and financing decisions. Refinancing costs arise because lenders raise interest rates on loans and notes following violation. We estimate that increased interest costs resulting from violation range between 0.84 and 1.63 percent of the market value of sample firms' equity. Restructuring costs stem from lenders' demands for partial or full repayment. Nearly half the sample firms either refinanced their debt or divested assets within one year of violation, stating that the proceeds were to reduce the outstanding balances of violated debt agreements. We estimate that the costs of restructuring debt represent an average of 0.37 percent of sample firms' market value of equity. We also present some evidence that there are costs associated with modifying operations, although we cannot estimate their magnitude; lenders' repayment demands impose restructuring costs by forcing firms to eliminate profitable investment projects. In addition to these costs, in…","author":[{"dropping-particle":"","family":"Semler","given":"Matthew W.","non-dropping-particle":"","parse-names":false,"suffix":""},{"dropping-particle":"","family":"Self","given":"Wesley H.","non-dropping-particle":"","parse-names":false,"suffix":""},{"dropping-particle":"","family":"Wanderer","given":"Jonathan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J.","non-dropping-particle":"","parse-names":false,"suffix":""},{"dropping-particle":"","family":"Ehrenfeld","given":"Jesse M.","non-dropping-particle":"","parse-names":false,"suffix":""},{"dropping-particle":"","family":"Siew","given":"Edward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W.","non-dropping-particle":"","parse-names":false,"suffix":""}],"container-title":"New England Journal of Medicine","id":"ITEM-1","issue":"9","issued":{"date-parts":[["2018"]]},"page":"819-828","title":"Balanced Crystalloids versus Saline in Critically Ill Adults","type":"article-journal","volume":"378"},"uris":["http://www.mendeley.com/documents/?uuid=0de22d97-8029-4840-8bd2-a2e497ddbf91"]}],"mendeley":{"formattedCitation":"&lt;sup&gt;5&lt;/sup&gt;","plainTextFormattedCitation":"5","previouslyFormattedCitation":"&lt;sup&gt;5&lt;/sup&gt;"},"properties":{"noteIndex":0},"schema":"https://github.com/citation-style-language/schema/raw/master/csl-citation.json"}</w:instrText>
      </w:r>
      <w:r>
        <w:rPr>
          <w:sz w:val="24"/>
          <w:szCs w:val="24"/>
          <w:highlight w:val="yellow"/>
        </w:rPr>
        <w:fldChar w:fldCharType="separate"/>
      </w:r>
      <w:r w:rsidRPr="00654631">
        <w:rPr>
          <w:noProof/>
          <w:sz w:val="24"/>
          <w:szCs w:val="24"/>
          <w:highlight w:val="yellow"/>
          <w:vertAlign w:val="superscript"/>
        </w:rPr>
        <w:t>5</w:t>
      </w:r>
      <w:r>
        <w:rPr>
          <w:sz w:val="24"/>
          <w:szCs w:val="24"/>
          <w:highlight w:val="yellow"/>
        </w:rPr>
        <w:fldChar w:fldCharType="end"/>
      </w:r>
      <w:r w:rsidR="00F77B4A">
        <w:rPr>
          <w:sz w:val="24"/>
          <w:szCs w:val="24"/>
        </w:rPr>
        <w:t xml:space="preserve">. </w:t>
      </w:r>
      <w:r>
        <w:rPr>
          <w:sz w:val="24"/>
          <w:szCs w:val="24"/>
        </w:rPr>
        <w:t>2015/Jun/1~2017/4/30.</w:t>
      </w:r>
    </w:p>
    <w:p w14:paraId="7646D2E7" w14:textId="593CEE28" w:rsidR="00F77B4A" w:rsidRDefault="00F77B4A" w:rsidP="00F77B4A">
      <w:pPr>
        <w:pStyle w:val="NormalWeb"/>
        <w:spacing w:before="0" w:beforeAutospacing="0" w:after="0" w:afterAutospacing="0"/>
        <w:rPr>
          <w:sz w:val="24"/>
          <w:szCs w:val="24"/>
        </w:rPr>
      </w:pPr>
      <w:r>
        <w:rPr>
          <w:sz w:val="24"/>
          <w:szCs w:val="24"/>
        </w:rPr>
        <w:t xml:space="preserve">In particular, the design </w:t>
      </w:r>
      <w:r w:rsidR="00654631">
        <w:rPr>
          <w:sz w:val="24"/>
          <w:szCs w:val="24"/>
        </w:rPr>
        <w:t xml:space="preserve">and the protocol </w:t>
      </w:r>
      <w:r>
        <w:rPr>
          <w:sz w:val="24"/>
          <w:szCs w:val="24"/>
        </w:rPr>
        <w:t>of the study was published in BMC Trials</w:t>
      </w:r>
      <w:r>
        <w:rPr>
          <w:sz w:val="24"/>
          <w:szCs w:val="24"/>
        </w:rPr>
        <w:fldChar w:fldCharType="begin" w:fldLock="1"/>
      </w:r>
      <w:r w:rsidR="0093022F">
        <w:rPr>
          <w:sz w:val="24"/>
          <w:szCs w:val="24"/>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Pr>
          <w:sz w:val="24"/>
          <w:szCs w:val="24"/>
        </w:rPr>
        <w:fldChar w:fldCharType="separate"/>
      </w:r>
      <w:r w:rsidR="00654631" w:rsidRPr="00654631">
        <w:rPr>
          <w:noProof/>
          <w:sz w:val="24"/>
          <w:szCs w:val="24"/>
          <w:vertAlign w:val="superscript"/>
        </w:rPr>
        <w:t>6</w:t>
      </w:r>
      <w:r>
        <w:rPr>
          <w:sz w:val="24"/>
          <w:szCs w:val="24"/>
        </w:rPr>
        <w:fldChar w:fldCharType="end"/>
      </w:r>
      <w:r>
        <w:rPr>
          <w:sz w:val="24"/>
          <w:szCs w:val="24"/>
        </w:rPr>
        <w:t>. Screenplay -&gt; movie.</w:t>
      </w:r>
    </w:p>
    <w:p w14:paraId="766A06E6" w14:textId="4EB69514"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在这个Vanderbilt基于</w:t>
      </w:r>
      <w:proofErr w:type="spellStart"/>
      <w:r>
        <w:rPr>
          <w:rFonts w:ascii="宋体" w:eastAsia="宋体" w:hAnsi="宋体" w:cs="宋体" w:hint="eastAsia"/>
          <w:sz w:val="24"/>
          <w:szCs w:val="24"/>
          <w:lang w:eastAsia="zh-CN"/>
        </w:rPr>
        <w:t>eMERGE</w:t>
      </w:r>
      <w:proofErr w:type="spellEnd"/>
      <w:r>
        <w:rPr>
          <w:rFonts w:ascii="宋体" w:eastAsia="宋体" w:hAnsi="宋体" w:cs="宋体" w:hint="eastAsia"/>
          <w:sz w:val="24"/>
          <w:szCs w:val="24"/>
          <w:lang w:eastAsia="zh-CN"/>
        </w:rPr>
        <w:t>之前的标杆研究是新西兰多中心的SPLIT RCT研究</w:t>
      </w:r>
      <w:r>
        <w:rPr>
          <w:rFonts w:ascii="宋体" w:eastAsia="宋体" w:hAnsi="宋体" w:cs="宋体"/>
          <w:sz w:val="24"/>
          <w:szCs w:val="24"/>
          <w:lang w:eastAsia="zh-CN"/>
        </w:rPr>
        <w:fldChar w:fldCharType="begin" w:fldLock="1"/>
      </w:r>
      <w:r>
        <w:rPr>
          <w:rFonts w:ascii="宋体" w:eastAsia="宋体" w:hAnsi="宋体" w:cs="宋体"/>
          <w:sz w:val="24"/>
          <w:szCs w:val="24"/>
          <w:lang w:eastAsia="zh-CN"/>
        </w:rPr>
        <w:instrText>ADDIN CSL_CITATION {"citationItems":[{"id":"ITEM-1","itemData":{"DOI":"10.1001/jama.2015.12334","ISSN":"15383598","abstract":"Importance: Saline (0.9% sodium chloride) is the most commonly administered intravenous fluid; however, its use may be associated with acute kidney injury (AKI) and increased mortality. Objective: To determine the effect of a buffered crystalloid compared with saline on renal complications in patients admitted to the intensive care unit (ICU). Design and Setting: Double-blind, cluster randomized, double-crossover trial conducted in 4 ICUs in New Zealand from April 2014 through October 2014. Three ICUs were general medical and surgical ICUs; 1 ICU had a predominance of cardiothoracic and vascular surgical patients. Participants: All patients admitted to the ICU requiring crystalloid fluid therapy were eligible for inclusion. Patients with established AKI requiring renal replacement therapy (RRT) were excluded. All 2278 eligible patients were enrolled; 1152 of 1162 patients (99.1%) receiving buffered crystalloid and 1110 of 1116 patients (99.5%) receiving saline were analyzed. Interventions: Participating ICUs were assigned a masked study fluid, either saline or a buffered crystalloid, for alternating 7-week treatment blocks. Two ICUs commenced using 1 fluid and the other 2 commenced using the alternative fluid. Two crossovers occurred so that each ICU used each fluid twice over the 28 weeks of the study. The treating clinician determined the rate and frequency of fluid administration. Main Outcomes and Measures: The primary outcome was proportion of patients with AKI (defined as a rise in serum creatinine level of at least 2-fold or a serum creatinine level of &gt;/=3.96 mg/dL with an increase of &gt;/=0.5 mg/dL); main secondary outcomes were incidence of RRT use and in-hospital mortality. Results: In the buffered crystalloid group, 102 of 1067 patients (9.6%) developed AKI within 90 days after enrollment compared with 94 of 1025 patients (9.2%) in the saline group (absolute difference, 0.4% [95% CI, -2.1% to 2.9%]; relative risk [RR], 1.04 [95% CI, 0.80 to 1.36]; P = .77). In the buffered crystalloid group, RRT was used in 38 of 1152 patients (3.3%) compared with 38 of 1110 patients (3.4%) in the saline group (absolute difference, -0.1% [95% CI, -1.6% to 1.4%]; RR, 0.96 [95% CI, 0.62 to 1.50]; P = .91). Overall, 87 of 1152 patients (7.6%) in the buffered crystalloid group and 95 of 1110 patients (8.6%) in the saline group died in the hospital (absolute difference, -1.0% [95% CI, -3.3% to 1.2%]; RR, 0.88 [95% CI, 0.67 to 1.17]; P = .40). Conclusions and Releva…","author":[{"dropping-particle":"","family":"Young","given":"Paul","non-dropping-particle":"","parse-names":false,"suffix":""},{"dropping-particle":"","family":"Bailey","given":"Michael","non-dropping-particle":"","parse-names":false,"suffix":""},{"dropping-particle":"","family":"Beasley","given":"Richard","non-dropping-particle":"","parse-names":false,"suffix":""},{"dropping-particle":"","family":"Henderson","given":"Seton","non-dropping-particle":"","parse-names":false,"suffix":""},{"dropping-particle":"","family":"Mackle","given":"Diane","non-dropping-particle":"","parse-names":false,"suffix":""},{"dropping-particle":"","family":"McArthur","given":"Colin","non-dropping-particle":"","parse-names":false,"suffix":""},{"dropping-particle":"","family":"McGuinness","given":"Shay","non-dropping-particle":"","parse-names":false,"suffix":""},{"dropping-particle":"","family":"Mehrtens","given":"Jan","non-dropping-particle":"","parse-names":false,"suffix":""},{"dropping-particle":"","family":"Myburgh","given":"John","non-dropping-particle":"","parse-names":false,"suffix":""},{"dropping-particle":"","family":"Psirides","given":"Alex","non-dropping-particle":"","parse-names":false,"suffix":""},{"dropping-particle":"","family":"Reddy","given":"Sumeet","non-dropping-particle":"","parse-names":false,"suffix":""},{"dropping-particle":"","family":"Bellomo","given":"Rinaldo","non-dropping-particle":"","parse-names":false,"suffix":""},{"dropping-particle":"","family":"Hunt","given":"Anna","non-dropping-particle":"","parse-names":false,"suffix":""},{"dropping-particle":"","family":"Hurford","given":"Sally","non-dropping-particle":"","parse-names":false,"suffix":""},{"dropping-particle":"","family":"Navarra","given":"Leanlove","non-dropping-particle":"","parse-names":false,"suffix":""},{"dropping-particle":"","family":"Jason-Smith","given":"Adelaide","non-dropping-particle":"","parse-names":false,"suffix":""},{"dropping-particle":"","family":"Andrews","given":"Lynn","non-dropping-particle":"","parse-names":false,"suffix":""},{"dropping-particle":"","family":"Hitchings","given":"Louise","non-dropping-particle":"","parse-names":false,"suffix":""},{"dropping-particle":"","family":"Closey","given":"David","non-dropping-particle":"","parse-names":false,"suffix":""},{"dropping-particle":"","family":"Parker","given":"Kim","non-dropping-particle":"","parse-names":false,"suffix":""},{"dropping-particle":"","family":"Minto","given":"Emmeline","non-dropping-particle":"","parse-names":false,"suffix":""},{"dropping-particle":"","family":"Morris","given":"Anna","non-dropping-particle":"","parse-names":false,"suffix":""},{"dropping-particle":"","family":"McConnochie","given":"Rachael","non-dropping-particle":"","parse-names":false,"suffix":""},{"dropping-particle":"","family":"Chen","given":"Yan","non-dropping-particle":"","parse-names":false,"suffix":""},{"dropping-particle":"","family":"Newby","given":"Lynette","non-dropping-particle":"","parse-names":false,"suffix":""},{"dropping-particle":"","family":"Parke","given":"Rachael","non-dropping-particle":"","parse-names":false,"suffix":""},{"dropping-particle":"","family":"McCarthy","given":"Lianne","non-dropping-particle":"","parse-names":false,"suffix":""},{"dropping-particle":"","family":"Gilder","given":"Eileen","non-dropping-particle":"","parse-names":false,"suffix":""},{"dropping-particle":"","family":"Lammert","given":"Andrea","non-dropping-particle":"","parse-names":false,"suffix":""},{"dropping-particle":"","family":"Long","given":"Stephanie","non-dropping-particle":"","parse-names":false,"suffix":""},{"dropping-particle":"","family":"Cowdrey","given":"Keri Anne","non-dropping-particle":"","parse-names":false,"suffix":""},{"dropping-particle":"","family":"Perner","given":"Anders","non-dropping-particle":"","parse-names":false,"suffix":""},{"dropping-particle":"","family":"Morgan","given":"John","non-dropping-particle":"","parse-names":false,"suffix":""},{"dropping-particle":"","family":"Forbes","given":"Andrew","non-dropping-particle":"","parse-names":false,"suffix":""}],"container-title":"JAMA","id":"ITEM-1","issue":"16","issued":{"date-parts":[["2015"]]},"page":"1701-1710","title":"Effect of a buffered crystalloid solution vs saline on acute kidney injury among patients in the intensive care unit: The SPLIT randomized clinical trial","type":"article-journal","volume":"314"},"uris":["http://www.mendeley.com/documents/?uuid=5c801cdc-418a-4add-b450-6dd0ae25a2b2"]}],"mendeley":{"formattedCitation":"&lt;sup&gt;7&lt;/sup&gt;","plainTextFormattedCitation":"7","previouslyFormattedCitation":"&lt;sup&gt;7&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7</w:t>
      </w:r>
      <w:r>
        <w:rPr>
          <w:rFonts w:ascii="宋体" w:eastAsia="宋体" w:hAnsi="宋体" w:cs="宋体"/>
          <w:sz w:val="24"/>
          <w:szCs w:val="24"/>
          <w:lang w:eastAsia="zh-CN"/>
        </w:rPr>
        <w:fldChar w:fldCharType="end"/>
      </w:r>
      <w:r>
        <w:rPr>
          <w:rFonts w:ascii="宋体" w:eastAsia="宋体" w:hAnsi="宋体" w:cs="宋体"/>
          <w:sz w:val="24"/>
          <w:szCs w:val="24"/>
          <w:lang w:eastAsia="zh-CN"/>
        </w:rPr>
        <w:t>—</w:t>
      </w:r>
      <w:r>
        <w:rPr>
          <w:rFonts w:ascii="宋体" w:eastAsia="宋体" w:hAnsi="宋体" w:cs="宋体" w:hint="eastAsia"/>
          <w:sz w:val="24"/>
          <w:szCs w:val="24"/>
          <w:lang w:eastAsia="zh-CN"/>
        </w:rPr>
        <w:t>收集了1000：1000的buffered crystalloid 和 saline，当没有显示差异。</w:t>
      </w:r>
    </w:p>
    <w:p w14:paraId="1B720BB5" w14:textId="0BB651B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Vanderbilt的这个研究展示了一个比较完整的pre-study，design，到大规模实验的流程。</w:t>
      </w:r>
    </w:p>
    <w:p w14:paraId="6C68CE90" w14:textId="48ACF491" w:rsidR="0093022F" w:rsidRPr="002E2667"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w:t>
      </w:r>
      <w:proofErr w:type="spellStart"/>
      <w:r>
        <w:rPr>
          <w:rFonts w:ascii="宋体" w:eastAsia="宋体" w:hAnsi="宋体" w:cs="宋体" w:hint="eastAsia"/>
          <w:sz w:val="24"/>
          <w:szCs w:val="24"/>
          <w:lang w:eastAsia="zh-CN"/>
        </w:rPr>
        <w:t>prestudy</w:t>
      </w:r>
      <w:proofErr w:type="spellEnd"/>
      <w:r>
        <w:rPr>
          <w:rFonts w:ascii="宋体" w:eastAsia="宋体" w:hAnsi="宋体" w:cs="宋体" w:hint="eastAsia"/>
          <w:sz w:val="24"/>
          <w:szCs w:val="24"/>
          <w:lang w:eastAsia="zh-CN"/>
        </w:rPr>
        <w:t>中</w:t>
      </w:r>
      <w:r>
        <w:rPr>
          <w:rFonts w:ascii="宋体" w:eastAsia="宋体" w:hAnsi="宋体" w:cs="宋体"/>
          <w:sz w:val="24"/>
          <w:szCs w:val="24"/>
          <w:lang w:eastAsia="zh-CN"/>
        </w:rPr>
        <w:fldChar w:fldCharType="begin" w:fldLock="1"/>
      </w:r>
      <w:r w:rsidR="009E7735">
        <w:rPr>
          <w:rFonts w:ascii="宋体" w:eastAsia="宋体" w:hAnsi="宋体" w:cs="宋体"/>
          <w:sz w:val="24"/>
          <w:szCs w:val="24"/>
          <w:lang w:eastAsia="zh-CN"/>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4</w:t>
      </w:r>
      <w:r>
        <w:rPr>
          <w:rFonts w:ascii="宋体" w:eastAsia="宋体" w:hAnsi="宋体" w:cs="宋体"/>
          <w:sz w:val="24"/>
          <w:szCs w:val="24"/>
          <w:lang w:eastAsia="zh-CN"/>
        </w:rPr>
        <w:fldChar w:fldCharType="end"/>
      </w:r>
      <w:r>
        <w:rPr>
          <w:rFonts w:ascii="宋体" w:eastAsia="宋体" w:hAnsi="宋体" w:cs="宋体" w:hint="eastAsia"/>
          <w:sz w:val="24"/>
          <w:szCs w:val="24"/>
          <w:lang w:eastAsia="zh-CN"/>
        </w:rPr>
        <w:t>，使用了2015/Feb/3-2015/May/31的数据，454saline，520 balanced crystalloids。也就是说，仅仅基于Vanderbilt ICD三个月的EMR数据量就赶上了新西兰的研究水平。</w:t>
      </w:r>
    </w:p>
    <w:p w14:paraId="299641FF" w14:textId="77777777" w:rsidR="003A3FA4" w:rsidRDefault="003A3FA4" w:rsidP="00F77B4A">
      <w:pPr>
        <w:pStyle w:val="NormalWeb"/>
        <w:spacing w:before="0" w:beforeAutospacing="0" w:after="0" w:afterAutospacing="0"/>
        <w:rPr>
          <w:sz w:val="24"/>
          <w:szCs w:val="24"/>
          <w:lang w:eastAsia="zh-CN"/>
        </w:rPr>
      </w:pPr>
    </w:p>
    <w:p w14:paraId="07074427" w14:textId="618C802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实验设计</w:t>
      </w:r>
      <w:r>
        <w:rPr>
          <w:rFonts w:hint="eastAsia"/>
          <w:sz w:val="24"/>
          <w:szCs w:val="24"/>
          <w:lang w:eastAsia="zh-CN"/>
        </w:rPr>
        <w:t>的具体流程</w:t>
      </w:r>
      <w:r w:rsidR="009E7735">
        <w:rPr>
          <w:rFonts w:ascii="宋体" w:eastAsia="宋体" w:hAnsi="宋体" w:cs="宋体" w:hint="eastAsia"/>
          <w:sz w:val="24"/>
          <w:szCs w:val="24"/>
          <w:lang w:eastAsia="zh-CN"/>
        </w:rPr>
        <w:t>则</w:t>
      </w:r>
      <w:r w:rsidR="009E7735">
        <w:rPr>
          <w:rFonts w:hint="eastAsia"/>
          <w:sz w:val="24"/>
          <w:szCs w:val="24"/>
          <w:lang w:eastAsia="zh-CN"/>
        </w:rPr>
        <w:t>在</w:t>
      </w:r>
      <w:r w:rsidR="009E7735">
        <w:rPr>
          <w:rFonts w:hint="eastAsia"/>
          <w:sz w:val="24"/>
          <w:szCs w:val="24"/>
          <w:lang w:eastAsia="zh-CN"/>
        </w:rPr>
        <w:t>Trials</w:t>
      </w:r>
      <w:r w:rsidR="009E7735">
        <w:rPr>
          <w:rFonts w:hint="eastAsia"/>
          <w:sz w:val="24"/>
          <w:szCs w:val="24"/>
          <w:lang w:eastAsia="zh-CN"/>
        </w:rPr>
        <w:t>上</w:t>
      </w:r>
      <w:r w:rsidR="009E7735">
        <w:rPr>
          <w:rFonts w:ascii="宋体" w:eastAsia="宋体" w:hAnsi="宋体" w:cs="宋体" w:hint="eastAsia"/>
          <w:sz w:val="24"/>
          <w:szCs w:val="24"/>
          <w:lang w:eastAsia="zh-CN"/>
        </w:rPr>
        <w:t>发</w:t>
      </w:r>
      <w:r w:rsidR="009E7735">
        <w:rPr>
          <w:rFonts w:hint="eastAsia"/>
          <w:sz w:val="24"/>
          <w:szCs w:val="24"/>
          <w:lang w:eastAsia="zh-CN"/>
        </w:rPr>
        <w:t>表</w:t>
      </w:r>
      <w:r w:rsidR="009E7735">
        <w:rPr>
          <w:sz w:val="24"/>
          <w:szCs w:val="24"/>
          <w:lang w:eastAsia="zh-CN"/>
        </w:rPr>
        <w:fldChar w:fldCharType="begin" w:fldLock="1"/>
      </w:r>
      <w:r w:rsidR="00293BFB">
        <w:rPr>
          <w:sz w:val="24"/>
          <w:szCs w:val="24"/>
          <w:lang w:eastAsia="zh-CN"/>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sidR="009E7735">
        <w:rPr>
          <w:sz w:val="24"/>
          <w:szCs w:val="24"/>
          <w:lang w:eastAsia="zh-CN"/>
        </w:rPr>
        <w:fldChar w:fldCharType="separate"/>
      </w:r>
      <w:r w:rsidR="009E7735" w:rsidRPr="009E7735">
        <w:rPr>
          <w:noProof/>
          <w:sz w:val="24"/>
          <w:szCs w:val="24"/>
          <w:vertAlign w:val="superscript"/>
          <w:lang w:eastAsia="zh-CN"/>
        </w:rPr>
        <w:t>6</w:t>
      </w:r>
      <w:r w:rsidR="009E7735">
        <w:rPr>
          <w:sz w:val="24"/>
          <w:szCs w:val="24"/>
          <w:lang w:eastAsia="zh-CN"/>
        </w:rPr>
        <w:fldChar w:fldCharType="end"/>
      </w:r>
      <w:r w:rsidR="009E7735">
        <w:rPr>
          <w:rFonts w:hint="eastAsia"/>
          <w:sz w:val="24"/>
          <w:szCs w:val="24"/>
          <w:lang w:eastAsia="zh-CN"/>
        </w:rPr>
        <w:t>，最</w:t>
      </w:r>
      <w:r w:rsidR="009E7735">
        <w:rPr>
          <w:rFonts w:ascii="宋体" w:eastAsia="宋体" w:hAnsi="宋体" w:cs="宋体" w:hint="eastAsia"/>
          <w:sz w:val="24"/>
          <w:szCs w:val="24"/>
          <w:lang w:eastAsia="zh-CN"/>
        </w:rPr>
        <w:t>终发</w:t>
      </w:r>
      <w:r w:rsidR="009E7735">
        <w:rPr>
          <w:rFonts w:hint="eastAsia"/>
          <w:sz w:val="24"/>
          <w:szCs w:val="24"/>
          <w:lang w:eastAsia="zh-CN"/>
        </w:rPr>
        <w:t>表了基于</w:t>
      </w:r>
      <w:r w:rsidR="009E7735">
        <w:rPr>
          <w:rFonts w:hint="eastAsia"/>
          <w:sz w:val="24"/>
          <w:szCs w:val="24"/>
          <w:lang w:eastAsia="zh-CN"/>
        </w:rPr>
        <w:t>2015/jun~2017/April</w:t>
      </w:r>
      <w:r w:rsidR="009E7735">
        <w:rPr>
          <w:rFonts w:hint="eastAsia"/>
          <w:sz w:val="24"/>
          <w:szCs w:val="24"/>
          <w:lang w:eastAsia="zh-CN"/>
        </w:rPr>
        <w:t>的</w:t>
      </w:r>
      <w:r w:rsidR="009E7735">
        <w:rPr>
          <w:rFonts w:ascii="宋体" w:eastAsia="宋体" w:hAnsi="宋体" w:cs="宋体" w:hint="eastAsia"/>
          <w:sz w:val="24"/>
          <w:szCs w:val="24"/>
          <w:lang w:eastAsia="zh-CN"/>
        </w:rPr>
        <w:t>数据，样本量达到15802(7942 balanced-crystalloids group, 7860 saline group)，也就是case 2。</w:t>
      </w:r>
    </w:p>
    <w:p w14:paraId="7400DD7A" w14:textId="77777777" w:rsidR="009E7735" w:rsidRDefault="009E7735" w:rsidP="00F77B4A">
      <w:pPr>
        <w:pStyle w:val="NormalWeb"/>
        <w:spacing w:before="0" w:beforeAutospacing="0" w:after="0" w:afterAutospacing="0"/>
        <w:rPr>
          <w:sz w:val="24"/>
          <w:szCs w:val="24"/>
          <w:lang w:eastAsia="zh-CN"/>
        </w:rPr>
      </w:pPr>
    </w:p>
    <w:p w14:paraId="4040FA61" w14:textId="4E18A2C3" w:rsidR="00654631" w:rsidRDefault="00654631" w:rsidP="00654631">
      <w:pPr>
        <w:rPr>
          <w:rFonts w:cs="Times New Roman"/>
          <w:lang w:val="en-US"/>
        </w:rPr>
      </w:pPr>
      <w:r w:rsidRPr="00654631">
        <w:rPr>
          <w:rFonts w:cs="Times New Roman"/>
          <w:b/>
          <w:u w:val="single"/>
          <w:lang w:val="en-US"/>
        </w:rPr>
        <w:t>Case</w:t>
      </w:r>
      <w:r>
        <w:rPr>
          <w:rFonts w:cs="Times New Roman"/>
          <w:b/>
          <w:u w:val="single"/>
          <w:lang w:val="en-US"/>
        </w:rPr>
        <w:t xml:space="preserve"> 3</w:t>
      </w:r>
      <w:r w:rsidRPr="00654631">
        <w:rPr>
          <w:rFonts w:cs="Times New Roman"/>
          <w:b/>
          <w:u w:val="single"/>
          <w:lang w:val="en-US"/>
        </w:rPr>
        <w:t>:</w:t>
      </w:r>
      <w:r>
        <w:rPr>
          <w:rFonts w:cs="Times New Roman"/>
          <w:lang w:val="en-US"/>
        </w:rPr>
        <w:t xml:space="preserve"> </w:t>
      </w:r>
      <w:r w:rsidRPr="00654631">
        <w:rPr>
          <w:rFonts w:cs="Times New Roman"/>
          <w:lang w:val="en-US"/>
        </w:rPr>
        <w:t xml:space="preserve">Balanced crystalloid versus saline in </w:t>
      </w:r>
      <w:proofErr w:type="spellStart"/>
      <w:r>
        <w:rPr>
          <w:rFonts w:cs="Times New Roman"/>
          <w:lang w:val="en-US"/>
        </w:rPr>
        <w:t>non</w:t>
      </w:r>
      <w:r w:rsidRPr="00654631">
        <w:rPr>
          <w:rFonts w:cs="Times New Roman"/>
          <w:lang w:val="en-US"/>
        </w:rPr>
        <w:t>critically</w:t>
      </w:r>
      <w:proofErr w:type="spellEnd"/>
      <w:r w:rsidRPr="00654631">
        <w:rPr>
          <w:rFonts w:cs="Times New Roman"/>
          <w:lang w:val="en-US"/>
        </w:rPr>
        <w:t xml:space="preserve"> ill adults</w:t>
      </w:r>
      <w:r>
        <w:rPr>
          <w:rFonts w:cs="Times New Roman"/>
          <w:lang w:val="en-US"/>
        </w:rPr>
        <w:fldChar w:fldCharType="begin" w:fldLock="1"/>
      </w:r>
      <w:r w:rsidR="0093022F">
        <w:rPr>
          <w:rFonts w:cs="Times New Roman"/>
          <w:lang w:val="en-US"/>
        </w:rPr>
        <w:instrText>ADDIN CSL_CITATION {"citationItems":[{"id":"ITEM-1","itemData":{"DOI":"10.1177/1751143718808463","ISSN":"17511437","abstract":"BACKGROUND Both balanced crystalloids and saline are used for intravenous fluid administration in critically ill adults, but it is not known which results in better clinical outcomes. METHODS In a pragmatic, cluster-randomized, multiple-crossover trial conducted in five intensive care units at an academic center, we assigned 15,802 adults to receive saline (0.9% sodium chloride) or balanced crystalloids (lactated Ringer's solution or Plasma-Lyte A) according to the randomization of the unit to which they were admitted. The primary outcome was a major adverse kidney event within 30 days - a composite of death from any cause, new renal-replacement therapy, or persistent renal dysfunction (defined as an elevation of the creatinine level to ≥200% of baseline) - all censored at hospital discharge or 30 days, whichever occurred first. RESULTS Among the 7942 patients in the balanced-crystalloids group, 1139 (14.3%) had a major adverse kidney event, as compared with 1211 of 7860 patients (15.4%) in the saline group (marginal odds ratio, 0.91; 95% confidence interval [CI], 0.84 to 0.99; conditional odds ratio, 0.90; 95% CI, 0.82 to 0.99; P=0.04). In-hospital mortality at 30 days was 10.3% in the balanced-crystalloids group and 11.1% in the saline group (P=0.06). The incidence of new renal-replacement therapy was 2.5% and 2.9%, respectively (P=0.08), and the incidence of persistent renal dysfunction was 6.4% and 6.6%, respectively (P=0.60). CONCLUSIONS Among critically ill adults, the use of balanced crystalloids for intravenous fluid administration resulted in a lower rate of the composite outcome of death from any cause, new renal-replacement therapy, or persistent renal dysfunction than the use of saline. (Funded by the Vanderbilt Institute for Clinical and Translational Research and others; SMART-MED and SMART-SURG ClinicalTrials.gov numbers, NCT02444988 and NCT02547779 .).","author":[{"dropping-particle":"","family":"Self","given":"Wesly H","non-dropping-particle":"","parse-names":false,"suffix":""},{"dropping-particle":"","family":"Semler","given":"Matthew W","non-dropping-particle":"","parse-names":false,"suffix":""},{"dropping-particle":"","family":"Wanderer","given":"Jonathan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J","non-dropping-particle":"","parse-names":false,"suffix":""},{"dropping-particle":"","family":"Ph","given":"D","non-dropping-particle":"","parse-names":false,"suffix":""},{"dropping-particle":"","family":"Shaw","given":"Andrew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W","non-dropping-particle":"","parse-names":false,"suffix":""},{"dropping-particle":"","family":"Investigators","given":"Salt-ed","non-dropping-particle":"","parse-names":false,"suffix":""}],"container-title":"New England Journal of Medicine","id":"ITEM-1","issue":"2","issued":{"date-parts":[["2018"]]},"page":"819-28","title":"Balanced Crystalloids versus Saline in Noncritically Ill Adults","type":"article-journal","volume":"378"},"uris":["http://www.mendeley.com/documents/?uuid=1a839a32-2fc4-4df9-9e95-755006943775"]}],"mendeley":{"formattedCitation":"&lt;sup&gt;8&lt;/sup&gt;","plainTextFormattedCitation":"8","previouslyFormattedCitation":"&lt;sup&gt;8&lt;/sup&gt;"},"properties":{"noteIndex":0},"schema":"https://github.com/citation-style-language/schema/raw/master/csl-citation.json"}</w:instrText>
      </w:r>
      <w:r>
        <w:rPr>
          <w:rFonts w:cs="Times New Roman"/>
          <w:lang w:val="en-US"/>
        </w:rPr>
        <w:fldChar w:fldCharType="separate"/>
      </w:r>
      <w:r w:rsidR="0093022F" w:rsidRPr="0093022F">
        <w:rPr>
          <w:rFonts w:cs="Times New Roman"/>
          <w:noProof/>
          <w:vertAlign w:val="superscript"/>
          <w:lang w:val="en-US"/>
        </w:rPr>
        <w:t>8</w:t>
      </w:r>
      <w:r>
        <w:rPr>
          <w:rFonts w:cs="Times New Roman"/>
          <w:lang w:val="en-US"/>
        </w:rPr>
        <w:fldChar w:fldCharType="end"/>
      </w:r>
      <w:r>
        <w:rPr>
          <w:rFonts w:cs="Times New Roman"/>
          <w:lang w:val="en-US"/>
        </w:rPr>
        <w:t>.</w:t>
      </w:r>
    </w:p>
    <w:p w14:paraId="414FE3FB" w14:textId="77777777" w:rsidR="00F77B4A" w:rsidRDefault="00F77B4A">
      <w:pPr>
        <w:rPr>
          <w:b/>
          <w:lang w:val="en-US" w:eastAsia="zh-CN"/>
        </w:rPr>
      </w:pPr>
    </w:p>
    <w:p w14:paraId="0D2D2F33" w14:textId="77777777" w:rsidR="00B14A3C" w:rsidRDefault="00B14A3C">
      <w:pPr>
        <w:rPr>
          <w:b/>
          <w:lang w:val="en-US" w:eastAsia="zh-CN"/>
        </w:rPr>
      </w:pPr>
    </w:p>
    <w:p w14:paraId="3378E8C1" w14:textId="4086118D" w:rsidR="00B4592B" w:rsidRDefault="00B4592B" w:rsidP="00B4592B">
      <w:pPr>
        <w:pStyle w:val="Heading2"/>
        <w:rPr>
          <w:lang w:val="en-US" w:eastAsia="zh-CN"/>
        </w:rPr>
      </w:pPr>
      <w:bookmarkStart w:id="4" w:name="_Toc427336636"/>
      <w:proofErr w:type="spellStart"/>
      <w:r>
        <w:rPr>
          <w:lang w:val="en-US" w:eastAsia="zh-CN"/>
        </w:rPr>
        <w:t>Geisnger</w:t>
      </w:r>
      <w:bookmarkEnd w:id="4"/>
      <w:proofErr w:type="spellEnd"/>
    </w:p>
    <w:p w14:paraId="3B24ECF0" w14:textId="380CAE5C" w:rsidR="004E2365" w:rsidRPr="00103F65" w:rsidRDefault="004E2365">
      <w:pPr>
        <w:rPr>
          <w:lang w:val="en-US" w:eastAsia="zh-CN"/>
        </w:rPr>
      </w:pPr>
      <w:r w:rsidRPr="00103F65">
        <w:rPr>
          <w:highlight w:val="yellow"/>
          <w:lang w:val="en-US" w:eastAsia="zh-CN"/>
        </w:rPr>
        <w:t>Geisinger</w:t>
      </w:r>
      <w:r w:rsidRPr="00103F65">
        <w:rPr>
          <w:highlight w:val="yellow"/>
          <w:lang w:val="en-US" w:eastAsia="zh-CN"/>
        </w:rPr>
        <w:fldChar w:fldCharType="begin" w:fldLock="1"/>
      </w:r>
      <w:r w:rsidR="0093022F" w:rsidRPr="00103F65">
        <w:rPr>
          <w:highlight w:val="yellow"/>
          <w:lang w:val="en-US" w:eastAsia="zh-CN"/>
        </w:rPr>
        <w:instrText>ADDIN CSL_CITATION {"citationItems":[{"id":"ITEM-1","itemData":{"DOI":"10.1038/gim.2015.187","ISSN":"15300366","abstract":"PURPOSE: Geisinger Health System (GHS) provides an ideal platform for Precision Medicine. Key elements are the integrated health system, stable patient population, and electronic health record (EHR) infrastructure. In 2007, Geisinger launched MyCode, a system-wide biobanking program to link samples and EHR data for broad research use. METHODS: Patient-centered input into MyCode was obtained using participant focus groups. Participation in MyCode is based on opt-in informed consent and allows recontact, which facilitates collection of data not in the EHR and, since 2013, the return of clinically actionable results to participants. MyCode leverages Geisinger's technology and clinical infrastructure for participant tracking and sample collection. RESULTS: MyCode has a consent rate of &gt;85%, with more than 90,000 participants currently and with ongoing enrollment of ~4,000 per month. MyCode samples have been used to generate molecular data, including high-density genotype and exome sequence data. Genotype and EHR-derived phenotype data replicate previously reported genetic associations. CONCLUSION: The MyCode project has created resources that enable a new model for translational research that is faster, more flexible, and more cost-effective than traditional clinical research approaches. The new model is scalable and will increase in value as these resources grow and are adopted across multiple research platforms.Genet Med advance online publication 11 February 2016Genetics in Medicine (2016); doi:10.1038/gim.2015.187.","author":[{"dropping-particle":"","family":"Carey","given":"David J.","non-dropping-particle":"","parse-names":false,"suffix":""},{"dropping-particle":"","family":"Fetterolf","given":"Samantha N.","non-dropping-particle":"","parse-names":false,"suffix":""},{"dropping-particle":"","family":"Davis","given":"F. Daniel","non-dropping-particle":"","parse-names":false,"suffix":""},{"dropping-particle":"","family":"Faucett","given":"William A.","non-dropping-particle":"","parse-names":false,"suffix":""},{"dropping-particle":"","family":"Kirchner","given":"H. Lester","non-dropping-particle":"","parse-names":false,"suffix":""},{"dropping-particle":"","family":"Mirshahi","given":"Uyenlinh","non-dropping-particle":"","parse-names":false,"suffix":""},{"dropping-particle":"","family":"Murray","given":"Michael F.","non-dropping-particle":"","parse-names":false,"suffix":""},{"dropping-particle":"","family":"Smelser","given":"Diane T.","non-dropping-particle":"","parse-names":false,"suffix":""},{"dropping-particle":"","family":"Gerhard","given":"Glenn S.","non-dropping-particle":"","parse-names":false,"suffix":""},{"dropping-particle":"","family":"Ledbetter","given":"David H.","non-dropping-particle":"","parse-names":false,"suffix":""}],"container-title":"Genetics in Medicine","id":"ITEM-1","issue":"9","issued":{"date-parts":[["2016"]]},"page":"906-913","title":"The Geisinger MyCode community health initiative: An electronic health record-linked biobank for precision medicine research","type":"article-journal","volume":"18"},"uris":["http://www.mendeley.com/documents/?uuid=e2b9b893-5ed1-447a-92df-56e7a05e5dc9"]}],"mendeley":{"formattedCitation":"&lt;sup&gt;9&lt;/sup&gt;","plainTextFormattedCitation":"9","previouslyFormattedCitation":"&lt;sup&gt;9&lt;/sup&gt;"},"properties":{"noteIndex":0},"schema":"https://github.com/citation-style-language/schema/raw/master/csl-citation.json"}</w:instrText>
      </w:r>
      <w:r w:rsidRPr="00103F65">
        <w:rPr>
          <w:highlight w:val="yellow"/>
          <w:lang w:val="en-US" w:eastAsia="zh-CN"/>
        </w:rPr>
        <w:fldChar w:fldCharType="separate"/>
      </w:r>
      <w:r w:rsidR="0093022F" w:rsidRPr="00103F65">
        <w:rPr>
          <w:noProof/>
          <w:highlight w:val="yellow"/>
          <w:vertAlign w:val="superscript"/>
          <w:lang w:val="en-US" w:eastAsia="zh-CN"/>
        </w:rPr>
        <w:t>9</w:t>
      </w:r>
      <w:r w:rsidRPr="00103F65">
        <w:rPr>
          <w:highlight w:val="yellow"/>
          <w:lang w:val="en-US" w:eastAsia="zh-CN"/>
        </w:rPr>
        <w:fldChar w:fldCharType="end"/>
      </w:r>
      <w:r w:rsidRPr="00103F65">
        <w:rPr>
          <w:lang w:val="en-US" w:eastAsia="zh-CN"/>
        </w:rPr>
        <w:t xml:space="preserve"> </w:t>
      </w:r>
      <w:r w:rsidRPr="00103F65">
        <w:rPr>
          <w:highlight w:val="yellow"/>
          <w:lang w:val="en-US" w:eastAsia="zh-CN"/>
        </w:rPr>
        <w:t xml:space="preserve">[The </w:t>
      </w:r>
      <w:proofErr w:type="spellStart"/>
      <w:r w:rsidRPr="00103F65">
        <w:rPr>
          <w:highlight w:val="yellow"/>
          <w:lang w:val="en-US" w:eastAsia="zh-CN"/>
        </w:rPr>
        <w:t>Geisinger</w:t>
      </w:r>
      <w:proofErr w:type="spellEnd"/>
      <w:r w:rsidRPr="00103F65">
        <w:rPr>
          <w:highlight w:val="yellow"/>
          <w:lang w:val="en-US" w:eastAsia="zh-CN"/>
        </w:rPr>
        <w:t xml:space="preserve"> </w:t>
      </w:r>
      <w:proofErr w:type="spellStart"/>
      <w:r w:rsidRPr="00103F65">
        <w:rPr>
          <w:highlight w:val="yellow"/>
          <w:lang w:val="en-US" w:eastAsia="zh-CN"/>
        </w:rPr>
        <w:t>MyCode</w:t>
      </w:r>
      <w:proofErr w:type="spellEnd"/>
      <w:r w:rsidRPr="00103F65">
        <w:rPr>
          <w:highlight w:val="yellow"/>
          <w:lang w:val="en-US" w:eastAsia="zh-CN"/>
        </w:rPr>
        <w:t xml:space="preserve"> community health initiative: an electronic health record-linked </w:t>
      </w:r>
      <w:proofErr w:type="spellStart"/>
      <w:r w:rsidRPr="00103F65">
        <w:rPr>
          <w:highlight w:val="yellow"/>
          <w:lang w:val="en-US" w:eastAsia="zh-CN"/>
        </w:rPr>
        <w:t>biobank</w:t>
      </w:r>
      <w:proofErr w:type="spellEnd"/>
      <w:r w:rsidRPr="00103F65">
        <w:rPr>
          <w:highlight w:val="yellow"/>
          <w:lang w:val="en-US" w:eastAsia="zh-CN"/>
        </w:rPr>
        <w:t xml:space="preserve"> for precision medicine research]</w:t>
      </w:r>
    </w:p>
    <w:p w14:paraId="5BB1CEE9" w14:textId="77777777" w:rsidR="004E2365" w:rsidRPr="00103F65" w:rsidRDefault="004E2365">
      <w:pPr>
        <w:rPr>
          <w:lang w:val="en-US" w:eastAsia="zh-CN"/>
        </w:rPr>
      </w:pPr>
    </w:p>
    <w:p w14:paraId="2E80E873" w14:textId="592FE84A" w:rsidR="004E2365" w:rsidRPr="00103F65" w:rsidRDefault="004E2365">
      <w:pPr>
        <w:rPr>
          <w:lang w:val="en-US" w:eastAsia="zh-CN"/>
        </w:rPr>
      </w:pPr>
      <w:r w:rsidRPr="00103F65">
        <w:rPr>
          <w:lang w:val="en-US" w:eastAsia="zh-CN"/>
        </w:rPr>
        <w:t>1996 started to collect EMR</w:t>
      </w:r>
    </w:p>
    <w:p w14:paraId="32D96622" w14:textId="5579900C" w:rsidR="004E2365" w:rsidRPr="00103F65" w:rsidRDefault="004E2365">
      <w:pPr>
        <w:rPr>
          <w:lang w:val="en-US" w:eastAsia="zh-CN"/>
        </w:rPr>
      </w:pPr>
      <w:r w:rsidRPr="00103F65">
        <w:rPr>
          <w:lang w:val="en-US" w:eastAsia="zh-CN"/>
        </w:rPr>
        <w:t xml:space="preserve">2007 GHS launched a project now known as </w:t>
      </w:r>
      <w:proofErr w:type="spellStart"/>
      <w:r w:rsidRPr="00103F65">
        <w:rPr>
          <w:lang w:val="en-US" w:eastAsia="zh-CN"/>
        </w:rPr>
        <w:t>MyCode</w:t>
      </w:r>
      <w:proofErr w:type="spellEnd"/>
      <w:r w:rsidRPr="00103F65">
        <w:rPr>
          <w:lang w:val="en-US" w:eastAsia="zh-CN"/>
        </w:rPr>
        <w:t xml:space="preserve"> Community Health Initiative to create a system-wide </w:t>
      </w:r>
      <w:proofErr w:type="spellStart"/>
      <w:r w:rsidRPr="00103F65">
        <w:rPr>
          <w:lang w:val="en-US" w:eastAsia="zh-CN"/>
        </w:rPr>
        <w:t>biorepository</w:t>
      </w:r>
      <w:proofErr w:type="spellEnd"/>
      <w:r w:rsidRPr="00103F65">
        <w:rPr>
          <w:lang w:val="en-US" w:eastAsia="zh-CN"/>
        </w:rPr>
        <w:t xml:space="preserve"> of blood serum and DNA samples for broad research used, including genomic analysis.</w:t>
      </w:r>
    </w:p>
    <w:p w14:paraId="12A27BDF" w14:textId="77777777" w:rsidR="004E2365" w:rsidRPr="00103F65" w:rsidRDefault="004E2365">
      <w:pPr>
        <w:rPr>
          <w:lang w:val="en-US" w:eastAsia="zh-CN"/>
        </w:rPr>
      </w:pPr>
    </w:p>
    <w:p w14:paraId="3F1EEBD9" w14:textId="0972ABDF" w:rsidR="004E2365" w:rsidRPr="00103F65" w:rsidRDefault="004E2365">
      <w:pPr>
        <w:rPr>
          <w:lang w:val="en-US" w:eastAsia="zh-CN"/>
        </w:rPr>
      </w:pPr>
      <w:r w:rsidRPr="00103F65">
        <w:rPr>
          <w:lang w:val="en-US" w:eastAsia="zh-CN"/>
        </w:rPr>
        <w:t xml:space="preserve">In their demo, the loss-of-function </w:t>
      </w:r>
      <w:r w:rsidRPr="00103F65">
        <w:rPr>
          <w:i/>
          <w:lang w:val="en-US" w:eastAsia="zh-CN"/>
        </w:rPr>
        <w:t>APOC3</w:t>
      </w:r>
      <w:r w:rsidRPr="00103F65">
        <w:rPr>
          <w:lang w:val="en-US" w:eastAsia="zh-CN"/>
        </w:rPr>
        <w:t xml:space="preserve"> was tested. </w:t>
      </w:r>
      <w:r w:rsidRPr="00103F65">
        <w:rPr>
          <w:i/>
          <w:lang w:val="en-US" w:eastAsia="zh-CN"/>
        </w:rPr>
        <w:t>APOC3</w:t>
      </w:r>
      <w:r w:rsidRPr="00103F65">
        <w:rPr>
          <w:lang w:val="en-US" w:eastAsia="zh-CN"/>
        </w:rPr>
        <w:t xml:space="preserve"> had strong effect in </w:t>
      </w:r>
      <w:proofErr w:type="spellStart"/>
      <w:r w:rsidRPr="00103F65">
        <w:rPr>
          <w:lang w:val="en-US" w:eastAsia="zh-CN"/>
        </w:rPr>
        <w:t>lipd</w:t>
      </w:r>
      <w:proofErr w:type="spellEnd"/>
      <w:r w:rsidRPr="00103F65">
        <w:rPr>
          <w:lang w:val="en-US" w:eastAsia="zh-CN"/>
        </w:rPr>
        <w:t xml:space="preserve"> values</w:t>
      </w:r>
      <w:r w:rsidRPr="00103F65">
        <w:rPr>
          <w:lang w:val="en-US" w:eastAsia="zh-CN"/>
        </w:rPr>
        <w:fldChar w:fldCharType="begin" w:fldLock="1"/>
      </w:r>
      <w:r w:rsidR="0093022F" w:rsidRPr="00103F65">
        <w:rPr>
          <w:lang w:val="en-US" w:eastAsia="zh-CN"/>
        </w:rPr>
        <w:instrText>ADDIN CSL_CITATION {"citationItems":[{"id":"ITEM-1","itemData":{"DOI":"10.1056/NEJMoa1307095","ISSN":"0028-4793","author":[{"dropping-particle":"","family":"The TG and HDL Working Group of the Exome Sequencing Project","given":"","non-dropping-particle":"","parse-names":false,"suffix":""}],"container-title":"New England Journal of Medicine","id":"ITEM-1","issue":"1","issued":{"date-parts":[["2014"]]},"page":"22-31","title":"Loss-of-Function Mutations in APOC3, Triglycerides, and Coronary Disease","type":"article-journal","volume":"371"},"uris":["http://www.mendeley.com/documents/?uuid=f64a0503-d6fc-4d2f-af1e-49cd912f8c86"]}],"mendeley":{"formattedCitation":"&lt;sup&gt;10&lt;/sup&gt;","plainTextFormattedCitation":"10","previouslyFormattedCitation":"&lt;sup&gt;10&lt;/sup&gt;"},"properties":{"noteIndex":0},"schema":"https://github.com/citation-style-language/schema/raw/master/csl-citation.json"}</w:instrText>
      </w:r>
      <w:r w:rsidRPr="00103F65">
        <w:rPr>
          <w:lang w:val="en-US" w:eastAsia="zh-CN"/>
        </w:rPr>
        <w:fldChar w:fldCharType="separate"/>
      </w:r>
      <w:r w:rsidR="0093022F" w:rsidRPr="00103F65">
        <w:rPr>
          <w:noProof/>
          <w:vertAlign w:val="superscript"/>
          <w:lang w:val="en-US" w:eastAsia="zh-CN"/>
        </w:rPr>
        <w:t>10</w:t>
      </w:r>
      <w:r w:rsidRPr="00103F65">
        <w:rPr>
          <w:lang w:val="en-US" w:eastAsia="zh-CN"/>
        </w:rPr>
        <w:fldChar w:fldCharType="end"/>
      </w:r>
    </w:p>
    <w:p w14:paraId="798003CE" w14:textId="77777777" w:rsidR="004E2365" w:rsidRDefault="004E2365">
      <w:pPr>
        <w:rPr>
          <w:b/>
          <w:lang w:val="en-US" w:eastAsia="zh-CN"/>
        </w:rPr>
      </w:pPr>
    </w:p>
    <w:p w14:paraId="621D2B2C" w14:textId="140E207D" w:rsidR="00B4592B" w:rsidRDefault="00B4592B" w:rsidP="00B4592B">
      <w:pPr>
        <w:pStyle w:val="Heading2"/>
        <w:rPr>
          <w:highlight w:val="yellow"/>
          <w:lang w:val="en-US" w:eastAsia="zh-CN"/>
        </w:rPr>
      </w:pPr>
      <w:bookmarkStart w:id="5" w:name="_Toc427336637"/>
      <w:r>
        <w:rPr>
          <w:highlight w:val="yellow"/>
          <w:lang w:val="en-US" w:eastAsia="zh-CN"/>
        </w:rPr>
        <w:t>GERA</w:t>
      </w:r>
      <w:bookmarkEnd w:id="5"/>
    </w:p>
    <w:p w14:paraId="7E76D4D4" w14:textId="7C8F4EDA" w:rsidR="004E2365" w:rsidRDefault="004E2365">
      <w:pPr>
        <w:rPr>
          <w:b/>
          <w:lang w:val="en-US" w:eastAsia="zh-CN"/>
        </w:rPr>
      </w:pPr>
      <w:r w:rsidRPr="004E2365">
        <w:rPr>
          <w:b/>
          <w:highlight w:val="yellow"/>
          <w:lang w:val="en-US" w:eastAsia="zh-CN"/>
        </w:rPr>
        <w:t>GERA [Genetic Epidemiology Research on Adult Health and Aging cohort]</w:t>
      </w:r>
      <w:r w:rsidRPr="004E2365">
        <w:rPr>
          <w:b/>
          <w:lang w:val="en-US" w:eastAsia="zh-CN"/>
        </w:rPr>
        <w:fldChar w:fldCharType="begin" w:fldLock="1"/>
      </w:r>
      <w:r w:rsidR="0093022F">
        <w:rPr>
          <w:b/>
          <w:lang w:val="en-US" w:eastAsia="zh-CN"/>
        </w:rPr>
        <w:instrText>ADDIN CSL_CITATION {"citationItems":[{"id":"ITEM-1","itemData":{"DOI":"10.1534/genetics.115.178905","ISSN":"0016-6731","author":[{"dropping-particle":"","family":"Kvale","given":"M. N.","non-dropping-particle":"","parse-names":false,"suffix":""},{"dropping-particle":"","family":"Hesselson","given":"S.","non-dropping-particle":"","parse-names":false,"suffix":""},{"dropping-particle":"","family":"Hoffmann","given":"T. J.","non-dropping-particle":"","parse-names":false,"suffix":""},{"dropping-particle":"","family":"Cao","given":"Y.","non-dropping-particle":"","parse-names":false,"suffix":""},{"dropping-particle":"","family":"Chan","given":"D.","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Eshragh","given":"J.","non-dropping-particle":"","parse-names":false,"suffix":""},{"dropping-particle":"","family":"Finn","given":"a.","non-dropping-particle":"","parse-names":false,"suffix":""},{"dropping-particle":"","family":"Gollub","given":"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ao","given":"R.","non-dropping-particle":"","parse-names":false,"suffix":""},{"dropping-particle":"","family":"Lu","given":"Y.","non-dropping-particle":"","parse-names":false,"suffix":""},{"dropping-particle":"","family":"Ludwig","given":"D.","non-dropping-particle":"","parse-names":false,"suffix":""},{"dropping-particle":"","family":"Mathauda","given":"G. K.","non-dropping-particle":"","parse-names":false,"suffix":""},{"dropping-particle":"","family":"McGuire","given":"W. B.","non-dropping-particle":"","parse-names":false,"suffix":""},{"dropping-particle":"","family":"Mei","given":"G.","non-dropping-particle":"","parse-names":false,"suffix":""},{"dropping-particle":"","family":"Miles","given":"S.","non-dropping-particle":"","parse-names":false,"suffix":""},{"dropping-particle":"","family":"Mittman","given":"M.","non-dropping-particle":"","parse-names":false,"suffix":""},{"dropping-particle":"","family":"Patil","given":"M.","non-dropping-particle":"","parse-names":false,"suffix":""},{"dropping-particle":"","family":"Quesenberry","given":"C. P.","non-dropping-particle":"","parse-names":false,"suffix":""},{"dropping-particle":"","family":"Ranatunga","given":"D.","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hapero","given":"M.","non-dropping-particle":"","parse-names":false,"suffix":""},{"dropping-particle":"","family":"Shen","given":"L.","non-dropping-particle":"","parse-names":false,"suffix":""},{"dropping-particle":"","family":"Shenoy","given":"T.","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an","given":"E.","non-dropping-particle":"","parse-names":false,"suffix":""},{"dropping-particle":"","family":"Webster","given":"T.","non-dropping-particle":"","parse-names":false,"suffix":""},{"dropping-particle":"","family":"Whitmer","given":"R. a.","non-dropping-particle":"","parse-names":false,"suffix":""},{"dropping-particle":"","family":"Wong","given":"S.","non-dropping-particle":"","parse-names":false,"suffix":""},{"dropping-particle":"","family":"Zau","given":"C.","non-dropping-particle":"","parse-names":false,"suffix":""},{"dropping-particle":"","family":"Zhan","given":"Y.","non-dropping-particle":"","parse-names":false,"suffix":""},{"dropping-particle":"","family":"Schaefer","given":"C.","non-dropping-particle":"","parse-names":false,"suffix":""},{"dropping-particle":"","family":"Kwok","given":"P.-Y.","non-dropping-particle":"","parse-names":false,"suffix":""},{"dropping-particle":"","family":"Risch","given":"N.","non-dropping-particle":"","parse-names":false,"suffix":""}],"container-title":"Genetics","id":"ITEM-1","issue":"August","issued":{"date-parts":[["2015"]]},"page":"1051-1060","title":"Genotyping Informatics and Quality Control for 100,000 Subjects in the Genetic Epidemiology Research on Adult Health and Aging (GERA) Cohort","type":"article-journal","volume":"200"},"uris":["http://www.mendeley.com/documents/?uuid=8e26e260-cbf6-4ae5-a6ca-9ddf2f382f84"]}],"mendeley":{"formattedCitation":"&lt;sup&gt;11&lt;/sup&gt;","plainTextFormattedCitation":"11","previouslyFormattedCitation":"&lt;sup&gt;11&lt;/sup&gt;"},"properties":{"noteIndex":0},"schema":"https://github.com/citation-style-language/schema/raw/master/csl-citation.json"}</w:instrText>
      </w:r>
      <w:r w:rsidRPr="004E2365">
        <w:rPr>
          <w:b/>
          <w:lang w:val="en-US" w:eastAsia="zh-CN"/>
        </w:rPr>
        <w:fldChar w:fldCharType="separate"/>
      </w:r>
      <w:r w:rsidR="0093022F" w:rsidRPr="0093022F">
        <w:rPr>
          <w:noProof/>
          <w:vertAlign w:val="superscript"/>
          <w:lang w:val="en-US" w:eastAsia="zh-CN"/>
        </w:rPr>
        <w:t>11</w:t>
      </w:r>
      <w:r w:rsidRPr="004E2365">
        <w:rPr>
          <w:b/>
          <w:lang w:val="en-US" w:eastAsia="zh-CN"/>
        </w:rPr>
        <w:fldChar w:fldCharType="end"/>
      </w:r>
    </w:p>
    <w:p w14:paraId="6AA9D338" w14:textId="070C35B9" w:rsidR="004E2365" w:rsidRPr="00EA1C9A" w:rsidRDefault="0028753D">
      <w:pPr>
        <w:rPr>
          <w:lang w:val="en-US" w:eastAsia="zh-CN"/>
        </w:rPr>
      </w:pPr>
      <w:r>
        <w:rPr>
          <w:lang w:val="en-US" w:eastAsia="zh-CN"/>
        </w:rPr>
        <w:lastRenderedPageBreak/>
        <w:t xml:space="preserve">About a cohort of &gt; 100,000 subjects who are participants in the Kaiser Permanente Medical Care Plan, Northern California Region. </w:t>
      </w:r>
      <w:r w:rsidR="00EA1C9A" w:rsidRPr="00EA1C9A">
        <w:rPr>
          <w:rFonts w:hint="eastAsia"/>
          <w:lang w:val="en-US" w:eastAsia="zh-CN"/>
        </w:rPr>
        <w:t>20</w:t>
      </w:r>
      <w:r w:rsidR="00EA1C9A">
        <w:rPr>
          <w:rFonts w:hint="eastAsia"/>
          <w:lang w:val="en-US" w:eastAsia="zh-CN"/>
        </w:rPr>
        <w:t>% African Africa, Asian, and Latino or mixed, 80% non-Hispanic white.</w:t>
      </w:r>
    </w:p>
    <w:p w14:paraId="1018FC0A" w14:textId="069FD1D1" w:rsidR="004E2365" w:rsidRDefault="0028753D">
      <w:pPr>
        <w:rPr>
          <w:lang w:val="en-US" w:eastAsia="zh-CN"/>
        </w:rPr>
      </w:pPr>
      <w:proofErr w:type="spellStart"/>
      <w:r w:rsidRPr="00033908">
        <w:rPr>
          <w:highlight w:val="cyan"/>
          <w:lang w:val="en-US" w:eastAsia="zh-CN"/>
        </w:rPr>
        <w:t>Affy</w:t>
      </w:r>
      <w:r w:rsidR="00033908" w:rsidRPr="00033908">
        <w:rPr>
          <w:highlight w:val="cyan"/>
          <w:lang w:val="en-US" w:eastAsia="zh-CN"/>
        </w:rPr>
        <w:t>metrix</w:t>
      </w:r>
      <w:proofErr w:type="spellEnd"/>
      <w:r w:rsidR="00033908" w:rsidRPr="00033908">
        <w:rPr>
          <w:highlight w:val="cyan"/>
          <w:lang w:val="en-US" w:eastAsia="zh-CN"/>
        </w:rPr>
        <w:t xml:space="preserve"> Axiom Genotyping chip designed by GERA</w:t>
      </w:r>
      <w:r w:rsidR="00033908" w:rsidRPr="00033908">
        <w:rPr>
          <w:highlight w:val="cyan"/>
          <w:lang w:val="en-US" w:eastAsia="zh-CN"/>
        </w:rPr>
        <w:fldChar w:fldCharType="begin" w:fldLock="1"/>
      </w:r>
      <w:r w:rsidR="0093022F">
        <w:rPr>
          <w:highlight w:val="cyan"/>
          <w:lang w:val="en-US" w:eastAsia="zh-CN"/>
        </w:rPr>
        <w:instrText>ADDIN CSL_CITATION {"citationItems":[{"id":"ITEM-1","itemData":{"DOI":"10.1016/j.ygeno.2011.04.005","ISSN":"08887543","abstract":"The success of genome-wide association studies has paralleled the development of efficient genotyping technologies. We describe the development of a next-generation microarray based on the new highly-efficient Affymetrix Axiom genotyping technology that we are using to genotype individuals of European ancestry from the Kaiser Permanente Research Program on Genes, Environment and Health (RPGEH). The array contains 674,517 SNPs, and provides excellent genome-wide as well as gene-based and candidate-SNP coverage. Coverage was calculated using an approach based on imputation and cross validation. Preliminary results for the first 80,301 saliva-derived DNA samples from the RPGEH demonstrate very high quality genotypes, with sample success rates above 94% and over 98% of successful samples having SNP call rates exceeding 98%. At steady state, we have produced 462 million genotypes per week for each Axiom system. The new array provides a valuable addition to the repertoire of tools for large scale genome-wide association studies. © 2011 Elsevier Inc.","author":[{"dropping-particle":"","family":"Hoffmann","given":"Thomas J.","non-dropping-particle":"","parse-names":false,"suffix":""},{"dropping-particle":"","family":"Kvale","given":"Mark N.","non-dropping-particle":"","parse-names":false,"suffix":""},{"dropping-particle":"","family":"Hesselson","given":"Stephanie E.","non-dropping-particle":"","parse-names":false,"suffix":""},{"dropping-particle":"","family":"Zhan","given":"Yiping","non-dropping-particle":"","parse-names":false,"suffix":""},{"dropping-particle":"","family":"Aquino","given":"Christine","non-dropping-particle":"","parse-names":false,"suffix":""},{"dropping-particle":"","family":"Cao","given":"Yang","non-dropping-particle":"","parse-names":false,"suffix":""},{"dropping-particle":"","family":"Cawley","given":"Simon","non-dropping-particle":"","parse-names":false,"suffix":""},{"dropping-particle":"","family":"Chung","given":"Elaine","non-dropping-particle":"","parse-names":false,"suffix":""},{"dropping-particle":"","family":"Connell","given":"Sheryl","non-dropping-particle":"","parse-names":false,"suffix":""},{"dropping-particle":"","family":"Eshragh","given":"Jasmin","non-dropping-particle":"","parse-names":false,"suffix":""},{"dropping-particle":"","family":"Ewing","given":"Marcia","non-dropping-particle":"","parse-names":false,"suffix":""},{"dropping-particle":"","family":"Gollub","given":"Jeremy","non-dropping-particle":"","parse-names":false,"suffix":""},{"dropping-particle":"","family":"Henderson","given":"Mary","non-dropping-particle":"","parse-names":false,"suffix":""},{"dropping-particle":"","family":"Hubbell","given":"Earl","non-dropping-particle":"","parse-names":false,"suffix":""},{"dropping-particle":"","family":"Iribarren","given":"Carlos","non-dropping-particle":"","parse-names":false,"suffix":""},{"dropping-particle":"","family":"Kaufman","given":"Jay","non-dropping-particle":"","parse-names":false,"suffix":""},{"dropping-particle":"","family":"Lao","given":"Richard Z.","non-dropping-particle":"","parse-names":false,"suffix":""},{"dropping-particle":"","family":"Lu","given":"Yontao","non-dropping-particle":"","parse-names":false,"suffix":""},{"dropping-particle":"","family":"Ludwig","given":"Dana","non-dropping-particle":"","parse-names":false,"suffix":""},{"dropping-particle":"","family":"Mathauda","given":"Gurpreet K.","non-dropping-particle":"","parse-names":false,"suffix":""},{"dropping-particle":"","family":"McGuire","given":"William","non-dropping-particle":"","parse-names":false,"suffix":""},{"dropping-particle":"","family":"Mei","given":"Gangwu","non-dropping-particle":"","parse-names":false,"suffix":""},{"dropping-particle":"","family":"Miles","given":"Sunita","non-dropping-particle":"","parse-names":false,"suffix":""},{"dropping-particle":"","family":"Purdy","given":"Matthew M.","non-dropping-particle":"","parse-names":false,"suffix":""},{"dropping-particle":"","family":"Quesenberry","given":"Charles","non-dropping-particle":"","parse-names":false,"suffix":""},{"dropping-particle":"","family":"Ranatunga","given":"Dilrini","non-dropping-particle":"","parse-names":false,"suffix":""},{"dropping-particle":"","family":"Rowell","given":"Sarah","non-dropping-particle":"","parse-names":false,"suffix":""},{"dropping-particle":"","family":"Sadler","given":"Marianne","non-dropping-particle":"","parse-names":false,"suffix":""},{"dropping-particle":"","family":"Shapero","given":"Michael H.","non-dropping-particle":"","parse-names":false,"suffix":""},{"dropping-particle":"","family":"Shen","given":"Ling","non-dropping-particle":"","parse-names":false,"suffix":""},{"dropping-particle":"","family":"Shenoy","given":"Tanushree R.","non-dropping-particle":"","parse-names":false,"suffix":""},{"dropping-particle":"","family":"Smethurst","given":"David","non-dropping-particle":"","parse-names":false,"suffix":""},{"dropping-particle":"","family":"Eeden","given":"Stephen K.","non-dropping-particle":"Van den","parse-names":false,"suffix":""},{"dropping-particle":"","family":"Walter","given":"Larry","non-dropping-particle":"","parse-names":false,"suffix":""},{"dropping-particle":"","family":"Wan","given":"Eunice","non-dropping-particle":"","parse-names":false,"suffix":""},{"dropping-particle":"","family":"Wearley","given":"Reid","non-dropping-particle":"","parse-names":false,"suffix":""},{"dropping-particle":"","family":"Webster","given":"Teresa","non-dropping-particle":"","parse-names":false,"suffix":""},{"dropping-particle":"","family":"Wen","given":"Christopher C.","non-dropping-particle":"","parse-names":false,"suffix":""},{"dropping-particle":"","family":"Weng","given":"Li","non-dropping-particle":"","parse-names":false,"suffix":""},{"dropping-particle":"","family":"Whitmer","given":"Rachel A.","non-dropping-particle":"","parse-names":false,"suffix":""},{"dropping-particle":"","family":"Williams","given":"Alan","non-dropping-particle":"","parse-names":false,"suffix":""},{"dropping-particle":"","family":"Wong","given":"Simon C.","non-dropping-particle":"","parse-names":false,"suffix":""},{"dropping-particle":"","family":"Zau","given":"Chi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-1","issue":"2","issued":{"date-parts":[["2011"]]},"page":"79-89","publisher":"Elsevier Inc.","title":"Next generation genome-wide association tool: Design and coverage of a high-throughput European-optimized SNP array","type":"article-journal","volume":"98"},"uris":["http://www.mendeley.com/documents/?uuid=4641d418-96d4-40bd-a555-21914a51ae2b"]},{"id":"ITEM-2","itemData":{"DOI":"10.1016/j.ygeno.2011.08.007","ISSN":"08887543","abstract":"Four custom Axiom genotyping arrays were designed for a genome-wide association (GWA) study of 100,000 participants from the Kaiser Permanente Research Program on Genes, Environment and Health. The array optimized for individuals of European race/ethnicity was previously described. Here we detail the development of three additional microarrays optimized for individuals of East Asian, African American, and Latino race/ethnicity. For these arrays, we decreased redundancy of high-performing SNPs to increase SNP capacity. The East Asian array was designed using greedy pairwise SNP selection. However, removing SNPs from the target set based on imputation coverage is more efficient than pairwise tagging. Therefore, we developed a novel hybrid SNP selection method for the African American and Latino arrays utilizing rounds of greedy pairwise SNP selection, followed by removal from the target set of SNPs covered by imputation. The arrays provide excellent genome-wide coverage and are valuable additions for large-scale GWA studies. © 2011 Elsevier Inc.","author":[{"dropping-particle":"","family":"Hoffmann","given":"Thomas J.","non-dropping-particle":"","parse-names":false,"suffix":""},{"dropping-particle":"","family":"Zhan","given":"Yiping","non-dropping-particle":"","parse-names":false,"suffix":""},{"dropping-particle":"","family":"Kvale","given":"Mark N.","non-dropping-particle":"","parse-names":false,"suffix":""},{"dropping-particle":"","family":"Hesselson","given":"Stephanie E.","non-dropping-particle":"","parse-names":false,"suffix":""},{"dropping-particle":"","family":"Gollub","given":"Jeremy","non-dropping-particle":"","parse-names":false,"suffix":""},{"dropping-particle":"","family":"Iribarren","given":"Carlos","non-dropping-particle":"","parse-names":false,"suffix":""},{"dropping-particle":"","family":"Lu","given":"Yontao","non-dropping-particle":"","parse-names":false,"suffix":""},{"dropping-particle":"","family":"Mei","given":"Gangwu","non-dropping-particle":"","parse-names":false,"suffix":""},{"dropping-particle":"","family":"Purdy","given":"Matthew M.","non-dropping-particle":"","parse-names":false,"suffix":""},{"dropping-particle":"","family":"Quesenberry","given":"Charles","non-dropping-particle":"","parse-names":false,"suffix":""},{"dropping-particle":"","family":"Rowell","given":"Sarah","non-dropping-particle":"","parse-names":false,"suffix":""},{"dropping-particle":"","family":"Shapero","given":"Michael H.","non-dropping-particle":"","parse-names":false,"suffix":""},{"dropping-particle":"","family":"Smethurst","given":"David","non-dropping-particle":"","parse-names":false,"suffix":""},{"dropping-particle":"","family":"Somkin","given":"Carol P.","non-dropping-particle":"","parse-names":false,"suffix":""},{"dropping-particle":"","family":"Eeden","given":"Stephen K.","non-dropping-particle":"Van den","parse-names":false,"suffix":""},{"dropping-particle":"","family":"Walter","given":"Larry","non-dropping-particle":"","parse-names":false,"suffix":""},{"dropping-particle":"","family":"Webster","given":"Teresa","non-dropping-particle":"","parse-names":false,"suffix":""},{"dropping-particle":"","family":"Whitmer","given":"Rachel 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-2","issue":"6","issued":{"date-parts":[["2011"]]},"page":"422-430","publisher":"Elsevier Inc.","title":"Design and coverage of high throughput genotyping arrays optimized for individuals of East Asian, African American, and Latino race/ethnicity using imputation and a novel hybrid SNP selection algorithm","type":"article-journal","volume":"98"},"uris":["http://www.mendeley.com/documents/?uuid=2897af75-11c4-47fd-9e6a-d82b9d57a54c"]}],"mendeley":{"formattedCitation":"&lt;sup&gt;12,13&lt;/sup&gt;","plainTextFormattedCitation":"12,13","previouslyFormattedCitation":"&lt;sup&gt;12,13&lt;/sup&gt;"},"properties":{"noteIndex":0},"schema":"https://github.com/citation-style-language/schema/raw/master/csl-citation.json"}</w:instrText>
      </w:r>
      <w:r w:rsidR="00033908" w:rsidRPr="00033908">
        <w:rPr>
          <w:highlight w:val="cyan"/>
          <w:lang w:val="en-US" w:eastAsia="zh-CN"/>
        </w:rPr>
        <w:fldChar w:fldCharType="separate"/>
      </w:r>
      <w:r w:rsidR="0093022F" w:rsidRPr="0093022F">
        <w:rPr>
          <w:noProof/>
          <w:highlight w:val="cyan"/>
          <w:vertAlign w:val="superscript"/>
          <w:lang w:val="en-US" w:eastAsia="zh-CN"/>
        </w:rPr>
        <w:t>12,13</w:t>
      </w:r>
      <w:r w:rsidR="00033908" w:rsidRPr="00033908">
        <w:rPr>
          <w:highlight w:val="cyan"/>
          <w:lang w:val="en-US" w:eastAsia="zh-CN"/>
        </w:rPr>
        <w:fldChar w:fldCharType="end"/>
      </w:r>
      <w:r w:rsidR="00033908" w:rsidRPr="00033908">
        <w:rPr>
          <w:highlight w:val="cyan"/>
          <w:lang w:val="en-US" w:eastAsia="zh-CN"/>
        </w:rPr>
        <w:t>.</w:t>
      </w:r>
    </w:p>
    <w:p w14:paraId="18D84961" w14:textId="3994B416" w:rsidR="00033908" w:rsidRDefault="00033908">
      <w:pPr>
        <w:rPr>
          <w:lang w:val="en-US" w:eastAsia="zh-CN"/>
        </w:rPr>
      </w:pPr>
      <w:r w:rsidRPr="00033908">
        <w:rPr>
          <w:highlight w:val="magenta"/>
          <w:lang w:val="en-US" w:eastAsia="zh-CN"/>
        </w:rPr>
        <w:t>Saliva</w:t>
      </w:r>
      <w:r w:rsidR="00036E45">
        <w:rPr>
          <w:highlight w:val="magenta"/>
          <w:lang w:val="en-US" w:eastAsia="zh-CN"/>
        </w:rPr>
        <w:t>-based genotyping experiments</w:t>
      </w:r>
      <w:r w:rsidRPr="00033908">
        <w:rPr>
          <w:highlight w:val="magenta"/>
          <w:lang w:val="en-US" w:eastAsia="zh-CN"/>
        </w:rPr>
        <w:t xml:space="preserve">, </w:t>
      </w:r>
      <w:proofErr w:type="spellStart"/>
      <w:r w:rsidRPr="00033908">
        <w:rPr>
          <w:highlight w:val="magenta"/>
          <w:lang w:val="en-US" w:eastAsia="zh-CN"/>
        </w:rPr>
        <w:t>Oragene</w:t>
      </w:r>
      <w:proofErr w:type="spellEnd"/>
      <w:r w:rsidRPr="00033908">
        <w:rPr>
          <w:highlight w:val="magenta"/>
          <w:lang w:val="en-US" w:eastAsia="zh-CN"/>
        </w:rPr>
        <w:t xml:space="preserve"> OG-250 disc format saliva kit</w:t>
      </w:r>
      <w:r>
        <w:rPr>
          <w:lang w:val="en-US" w:eastAsia="zh-CN"/>
        </w:rPr>
        <w:t>.</w:t>
      </w:r>
    </w:p>
    <w:p w14:paraId="05093BA6" w14:textId="69F55BDC" w:rsidR="00CD2005" w:rsidRDefault="00CD2005">
      <w:pPr>
        <w:rPr>
          <w:lang w:val="en-US" w:eastAsia="zh-CN"/>
        </w:rPr>
      </w:pPr>
      <w:r>
        <w:rPr>
          <w:lang w:val="en-US" w:eastAsia="zh-CN"/>
        </w:rPr>
        <w:t>Population genetics study analysis for GERA</w:t>
      </w:r>
      <w:r w:rsidR="00EA130B">
        <w:rPr>
          <w:lang w:val="en-US" w:eastAsia="zh-CN"/>
        </w:rPr>
        <w:t xml:space="preserve"> found about 3400 Chinese samples</w:t>
      </w:r>
      <w:r w:rsidR="006E1DC9">
        <w:rPr>
          <w:lang w:val="en-US" w:eastAsia="zh-CN"/>
        </w:rPr>
        <w:fldChar w:fldCharType="begin" w:fldLock="1"/>
      </w:r>
      <w:r w:rsidR="0093022F">
        <w:rPr>
          <w:lang w:val="en-US" w:eastAsia="zh-CN"/>
        </w:rPr>
        <w:instrText>ADDIN CSL_CITATION {"citationItems":[{"id":"ITEM-1","itemData":{"DOI":"10.1534/genetics.115.178616","ISSN":"0016-6731","author":[{"dropping-particle":"","family":"Banda","given":"Y.","non-dropping-particle":"","parse-names":false,"suffix":""},{"dropping-particle":"","family":"Kvale","given":"M. N.","non-dropping-particle":"","parse-names":false,"suffix":""},{"dropping-particle":"","family":"Hoffmann","given":"T. J.","non-dropping-particle":"","parse-names":false,"suffix":""},{"dropping-particle":"","family":"Hesselson","given":"S. E.","non-dropping-particle":"","parse-names":false,"suffix":""},{"dropping-particle":"","family":"Ranatunga","given":"D.","non-dropping-particle":"","parse-names":false,"suffix":""},{"dropping-particle":"","family":"Tang","given":"H.","non-dropping-particle":"","parse-names":false,"suffix":""},{"dropping-particle":"","family":"Sabatti","given":"C.","non-dropping-particle":"","parse-names":false,"suffix":""},{"dropping-particle":"","family":"Croen","given":"L. a.","non-dropping-particle":"","parse-names":false,"suffix":""},{"dropping-particle":"","family":"Dispensa","given":"B. P.","non-dropping-particle":"","parse-names":false,"suffix":""},{"dropping-particle":"","family":"Henderson","given":"M.","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Olberg","given":"D.","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ciortino","given":"S.","non-dropping-particle":"","parse-names":false,"suffix":""},{"dropping-particle":"","family":"Shen","given":"L.","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Schaefer","given":"C.","non-dropping-particle":"","parse-names":false,"suffix":""},{"dropping-particle":"","family":"Risch","given":"N.","non-dropping-particle":"","parse-names":false,"suffix":""}],"container-title":"Genetics","id":"ITEM-1","issue":"August","issued":{"date-parts":[["2015"]]},"page":"1285-1295","title":"Characterizing Race/Ethnicity and Genetic Ancestry for 100,000 Subjects in the Genetic Epidemiology Research on Adult Health and Aging (GERA) Cohort","type":"article-journal","volume":"200"},"uris":["http://www.mendeley.com/documents/?uuid=13d29a85-ea33-4b95-a91d-b58e93ec41b2"]}],"mendeley":{"formattedCitation":"&lt;sup&gt;14&lt;/sup&gt;","plainTextFormattedCitation":"14","previouslyFormattedCitation":"&lt;sup&gt;14&lt;/sup&gt;"},"properties":{"noteIndex":0},"schema":"https://github.com/citation-style-language/schema/raw/master/csl-citation.json"}</w:instrText>
      </w:r>
      <w:r w:rsidR="006E1DC9">
        <w:rPr>
          <w:lang w:val="en-US" w:eastAsia="zh-CN"/>
        </w:rPr>
        <w:fldChar w:fldCharType="separate"/>
      </w:r>
      <w:r w:rsidR="0093022F" w:rsidRPr="0093022F">
        <w:rPr>
          <w:noProof/>
          <w:vertAlign w:val="superscript"/>
          <w:lang w:val="en-US" w:eastAsia="zh-CN"/>
        </w:rPr>
        <w:t>14</w:t>
      </w:r>
      <w:r w:rsidR="006E1DC9">
        <w:rPr>
          <w:lang w:val="en-US" w:eastAsia="zh-CN"/>
        </w:rPr>
        <w:fldChar w:fldCharType="end"/>
      </w:r>
      <w:r w:rsidR="00EA130B">
        <w:rPr>
          <w:lang w:val="en-US" w:eastAsia="zh-CN"/>
        </w:rPr>
        <w:t>.</w:t>
      </w:r>
    </w:p>
    <w:p w14:paraId="79A52D80" w14:textId="4724BD3A" w:rsidR="006E1DC9" w:rsidRPr="0028753D" w:rsidRDefault="006E1DC9">
      <w:pPr>
        <w:rPr>
          <w:lang w:val="en-US" w:eastAsia="zh-CN"/>
        </w:rPr>
      </w:pPr>
      <w:r>
        <w:rPr>
          <w:lang w:val="en-US" w:eastAsia="zh-CN"/>
        </w:rPr>
        <w:t>GERA also measure Telomere Length</w:t>
      </w:r>
      <w:r>
        <w:rPr>
          <w:lang w:val="en-US" w:eastAsia="zh-CN"/>
        </w:rPr>
        <w:fldChar w:fldCharType="begin" w:fldLock="1"/>
      </w:r>
      <w:r w:rsidR="0093022F">
        <w:rPr>
          <w:lang w:val="en-US" w:eastAsia="zh-CN"/>
        </w:rPr>
        <w:instrText>ADDIN CSL_CITATION {"citationItems":[{"id":"ITEM-1","itemData":{"DOI":"10.1534/genetics.115.178624","ISSN":"0016-6731","author":[{"dropping-particle":"","family":"Lapham","given":"K.","non-dropping-particle":"","parse-names":false,"suffix":""},{"dropping-particle":"","family":"Kvale","given":"M. N.","non-dropping-particle":"","parse-names":false,"suffix":""},{"dropping-particle":"","family":"Lin","given":"J.","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Fang","given":"L.","non-dropping-particle":"","parse-names":false,"suffix":""},{"dropping-particle":"","family":"Hesselson","given":"S.","non-dropping-particle":"","parse-names":false,"suffix":""},{"dropping-particle":"","family":"Hoffmann","given":"T. 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Matsuguchi","given":"T.","non-dropping-particle":"","parse-names":false,"suffix":""},{"dropping-particle":"","family":"McGuire","given":"W. B.","non-dropping-particle":"","parse-names":false,"suffix":""},{"dropping-particle":"","family":"Miles","given":"S.","non-dropping-particle":"","parse-names":false,"suffix":""},{"dropping-particle":"","family":"Quesenberry","given":"C.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Risch","given":"N.","non-dropping-particle":"","parse-names":false,"suffix":""},{"dropping-particle":"","family":"Schaefer","given":"C.","non-dropping-particle":"","parse-names":false,"suffix":""},{"dropping-particle":"","family":"Blackburn","given":"E. H.","non-dropping-particle":"","parse-names":false,"suffix":""}],"container-title":"Genetics","id":"ITEM-1","issue":"August","issued":{"date-parts":[["2015"]]},"page":"1061-1072","title":"Automated Assay of Telomere Length Measurement and Informatics for 100,000 Subjects in the Genetic Epidemiology Research on Adult Health and Aging (GERA) Cohort","type":"article-journal","volume":"200"},"uris":["http://www.mendeley.com/documents/?uuid=582a0bdc-fb69-4461-b821-9dbf5f6a4751"]}],"mendeley":{"formattedCitation":"&lt;sup&gt;15&lt;/sup&gt;","plainTextFormattedCitation":"15","previouslyFormattedCitation":"&lt;sup&gt;15&lt;/sup&gt;"},"properties":{"noteIndex":0},"schema":"https://github.com/citation-style-language/schema/raw/master/csl-citation.json"}</w:instrText>
      </w:r>
      <w:r>
        <w:rPr>
          <w:lang w:val="en-US" w:eastAsia="zh-CN"/>
        </w:rPr>
        <w:fldChar w:fldCharType="separate"/>
      </w:r>
      <w:r w:rsidR="0093022F" w:rsidRPr="0093022F">
        <w:rPr>
          <w:noProof/>
          <w:vertAlign w:val="superscript"/>
          <w:lang w:val="en-US" w:eastAsia="zh-CN"/>
        </w:rPr>
        <w:t>15</w:t>
      </w:r>
      <w:r>
        <w:rPr>
          <w:lang w:val="en-US" w:eastAsia="zh-CN"/>
        </w:rPr>
        <w:fldChar w:fldCharType="end"/>
      </w:r>
      <w:r>
        <w:rPr>
          <w:lang w:val="en-US" w:eastAsia="zh-CN"/>
        </w:rPr>
        <w:t xml:space="preserve">. </w:t>
      </w:r>
      <w:r w:rsidRPr="006E1DC9">
        <w:rPr>
          <w:highlight w:val="yellow"/>
          <w:lang w:val="en-US" w:eastAsia="zh-CN"/>
        </w:rPr>
        <w:t xml:space="preserve">It was pretty petty because </w:t>
      </w:r>
      <w:proofErr w:type="spellStart"/>
      <w:r w:rsidRPr="006E1DC9">
        <w:rPr>
          <w:highlight w:val="yellow"/>
          <w:lang w:val="en-US" w:eastAsia="zh-CN"/>
        </w:rPr>
        <w:t>mDNA</w:t>
      </w:r>
      <w:proofErr w:type="spellEnd"/>
      <w:r w:rsidRPr="006E1DC9">
        <w:rPr>
          <w:highlight w:val="yellow"/>
          <w:lang w:val="en-US" w:eastAsia="zh-CN"/>
        </w:rPr>
        <w:t xml:space="preserve"> provided a much accurate measure for aging compared with Telomere length</w:t>
      </w:r>
      <w:r w:rsidRPr="006E1DC9">
        <w:rPr>
          <w:highlight w:val="yellow"/>
          <w:lang w:val="en-US" w:eastAsia="zh-CN"/>
        </w:rPr>
        <w:fldChar w:fldCharType="begin" w:fldLock="1"/>
      </w:r>
      <w:r w:rsidR="0093022F">
        <w:rPr>
          <w:highlight w:val="yellow"/>
          <w:lang w:val="en-US" w:eastAsia="zh-CN"/>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lt;sup&gt;16&lt;/sup&gt;","plainTextFormattedCitation":"16","previouslyFormattedCitation":"&lt;sup&gt;16&lt;/sup&gt;"},"properties":{"noteIndex":0},"schema":"https://github.com/citation-style-language/schema/raw/master/csl-citation.json"}</w:instrText>
      </w:r>
      <w:r w:rsidRPr="006E1DC9">
        <w:rPr>
          <w:highlight w:val="yellow"/>
          <w:lang w:val="en-US" w:eastAsia="zh-CN"/>
        </w:rPr>
        <w:fldChar w:fldCharType="separate"/>
      </w:r>
      <w:r w:rsidR="0093022F" w:rsidRPr="0093022F">
        <w:rPr>
          <w:noProof/>
          <w:highlight w:val="yellow"/>
          <w:vertAlign w:val="superscript"/>
          <w:lang w:val="en-US" w:eastAsia="zh-CN"/>
        </w:rPr>
        <w:t>16</w:t>
      </w:r>
      <w:r w:rsidRPr="006E1DC9">
        <w:rPr>
          <w:highlight w:val="yellow"/>
          <w:lang w:val="en-US" w:eastAsia="zh-CN"/>
        </w:rPr>
        <w:fldChar w:fldCharType="end"/>
      </w:r>
      <w:r w:rsidRPr="006E1DC9">
        <w:rPr>
          <w:highlight w:val="yellow"/>
          <w:lang w:val="en-US" w:eastAsia="zh-CN"/>
        </w:rPr>
        <w:t>.</w:t>
      </w:r>
    </w:p>
    <w:p w14:paraId="7A75A1C4" w14:textId="77777777" w:rsidR="0028753D" w:rsidRDefault="0028753D">
      <w:pPr>
        <w:rPr>
          <w:b/>
          <w:lang w:val="en-US" w:eastAsia="zh-CN"/>
        </w:rPr>
      </w:pPr>
    </w:p>
    <w:p w14:paraId="02BBD325" w14:textId="7D01054B" w:rsidR="00293BFB" w:rsidRDefault="00B4592B" w:rsidP="00B4592B">
      <w:pPr>
        <w:pStyle w:val="Heading2"/>
        <w:rPr>
          <w:lang w:val="en-US" w:eastAsia="zh-CN"/>
        </w:rPr>
      </w:pPr>
      <w:bookmarkStart w:id="6" w:name="_Toc427336638"/>
      <w:r>
        <w:rPr>
          <w:lang w:val="en-US" w:eastAsia="zh-CN"/>
        </w:rPr>
        <w:t>Partners Healthcare System</w:t>
      </w:r>
      <w:bookmarkEnd w:id="6"/>
    </w:p>
    <w:p w14:paraId="7A9FE2D8" w14:textId="557DEF97" w:rsidR="00293BFB" w:rsidRDefault="00293BFB">
      <w:pPr>
        <w:rPr>
          <w:b/>
          <w:lang w:val="en-US" w:eastAsia="zh-CN"/>
        </w:rPr>
      </w:pPr>
      <w:r>
        <w:rPr>
          <w:b/>
          <w:lang w:val="en-US" w:eastAsia="zh-CN"/>
        </w:rPr>
        <w:t>Partners Healthcare System (</w:t>
      </w:r>
      <w:hyperlink r:id="rId6" w:history="1">
        <w:r w:rsidRPr="004F5BAD">
          <w:rPr>
            <w:rFonts w:eastAsia="Times New Roman" w:cs="Times New Roman"/>
            <w:color w:val="0000FF"/>
            <w:u w:val="single"/>
            <w:lang w:val="en-US"/>
          </w:rPr>
          <w:t>https://www.partners.org/About/Default.aspx</w:t>
        </w:r>
      </w:hyperlink>
      <w:r>
        <w:rPr>
          <w:b/>
          <w:lang w:val="en-US" w:eastAsia="zh-CN"/>
        </w:rPr>
        <w:t>)</w:t>
      </w:r>
    </w:p>
    <w:p w14:paraId="62815272" w14:textId="77777777" w:rsidR="00293BFB" w:rsidRDefault="00293BFB">
      <w:pPr>
        <w:rPr>
          <w:b/>
          <w:lang w:val="en-US" w:eastAsia="zh-CN"/>
        </w:rPr>
      </w:pPr>
      <w:r>
        <w:rPr>
          <w:b/>
          <w:lang w:val="en-US" w:eastAsia="zh-CN"/>
        </w:rPr>
        <w:t>Founding members</w:t>
      </w:r>
    </w:p>
    <w:p w14:paraId="38C8BF42" w14:textId="0719E3AA" w:rsidR="00293BFB" w:rsidRPr="00293BFB" w:rsidRDefault="00293BFB">
      <w:pPr>
        <w:rPr>
          <w:lang w:val="en-US" w:eastAsia="zh-CN"/>
        </w:rPr>
      </w:pPr>
      <w:r w:rsidRPr="00293BFB">
        <w:rPr>
          <w:lang w:val="en-US" w:eastAsia="zh-CN"/>
        </w:rPr>
        <w:t>Brigham and Women’s Hospital, Massachusetts General Hospital</w:t>
      </w:r>
    </w:p>
    <w:p w14:paraId="5F8EB5E6" w14:textId="77777777" w:rsidR="00BA09F3" w:rsidRDefault="00BA09F3">
      <w:pPr>
        <w:rPr>
          <w:lang w:val="en-US" w:eastAsia="zh-CN"/>
        </w:rPr>
      </w:pPr>
    </w:p>
    <w:p w14:paraId="7B050455" w14:textId="166D5B9F" w:rsidR="00703FA0" w:rsidRPr="00703FA0" w:rsidRDefault="00703FA0">
      <w:pPr>
        <w:rPr>
          <w:rFonts w:eastAsia="Times New Roman" w:cs="Times New Roman"/>
        </w:rPr>
      </w:pPr>
      <w:r>
        <w:rPr>
          <w:lang w:val="en-US" w:eastAsia="zh-CN"/>
        </w:rPr>
        <w:t>International code of disease [</w:t>
      </w:r>
      <w:hyperlink r:id="rId7" w:history="1">
        <w:r>
          <w:rPr>
            <w:rStyle w:val="Hyperlink"/>
            <w:rFonts w:eastAsia="Times New Roman" w:cs="Times New Roman"/>
          </w:rPr>
          <w:t>https://www.who.int/classifications/icd/en/</w:t>
        </w:r>
      </w:hyperlink>
      <w:r>
        <w:rPr>
          <w:lang w:val="en-US" w:eastAsia="zh-CN"/>
        </w:rPr>
        <w:t>]</w:t>
      </w:r>
    </w:p>
    <w:p w14:paraId="00E53098" w14:textId="5FF00ED6" w:rsidR="00BA09F3" w:rsidRDefault="00BA09F3">
      <w:pPr>
        <w:rPr>
          <w:lang w:val="en-US" w:eastAsia="zh-CN"/>
        </w:rPr>
      </w:pPr>
      <w:r>
        <w:rPr>
          <w:lang w:val="en-US" w:eastAsia="zh-CN"/>
        </w:rPr>
        <w:t>Natural Language Processing and EMR</w:t>
      </w:r>
    </w:p>
    <w:p w14:paraId="7385EA3E" w14:textId="77777777" w:rsidR="00BA09F3" w:rsidRPr="00293BFB" w:rsidRDefault="00BA09F3">
      <w:pPr>
        <w:rPr>
          <w:lang w:val="en-US" w:eastAsia="zh-CN"/>
        </w:rPr>
      </w:pPr>
    </w:p>
    <w:p w14:paraId="602CFBE7" w14:textId="04C93857" w:rsidR="00293BFB" w:rsidRDefault="001F79DF" w:rsidP="00293BFB">
      <w:pPr>
        <w:rPr>
          <w:rFonts w:eastAsia="Times New Roman" w:cs="Times New Roman"/>
          <w:lang w:val="en-US"/>
        </w:rPr>
      </w:pPr>
      <w:r>
        <w:rPr>
          <w:rFonts w:eastAsia="Times New Roman" w:cs="Times New Roman"/>
          <w:lang w:val="en-US"/>
        </w:rPr>
        <w:t xml:space="preserve">Open source NLP </w:t>
      </w:r>
      <w:proofErr w:type="spellStart"/>
      <w:r>
        <w:rPr>
          <w:rFonts w:eastAsia="Times New Roman" w:cs="Times New Roman"/>
          <w:lang w:val="en-US"/>
        </w:rPr>
        <w:t>cTAKES</w:t>
      </w:r>
      <w:proofErr w:type="spellEnd"/>
      <w:r>
        <w:rPr>
          <w:rFonts w:eastAsia="Times New Roman" w:cs="Times New Roman"/>
          <w:lang w:val="en-US"/>
        </w:rPr>
        <w:t xml:space="preserve"> </w:t>
      </w:r>
      <w:hyperlink r:id="rId8" w:history="1">
        <w:r w:rsidRPr="00C07AF5">
          <w:rPr>
            <w:rStyle w:val="Hyperlink"/>
            <w:rFonts w:eastAsia="Times New Roman" w:cs="Times New Roman"/>
            <w:lang w:val="en-US"/>
          </w:rPr>
          <w:t>http://ctakes.apache.org/</w:t>
        </w:r>
      </w:hyperlink>
    </w:p>
    <w:p w14:paraId="748A8500" w14:textId="5DB7CD06" w:rsidR="001F79DF" w:rsidRDefault="001F79DF" w:rsidP="001F79DF">
      <w:pPr>
        <w:rPr>
          <w:rFonts w:eastAsia="Times New Roman" w:cs="Times New Roman"/>
        </w:rPr>
      </w:pPr>
      <w:r>
        <w:rPr>
          <w:rFonts w:eastAsia="Times New Roman" w:cs="Times New Roman"/>
        </w:rPr>
        <w:t>Unified Medical Language System (UMLs)</w:t>
      </w:r>
      <w:r w:rsidR="00EF3625">
        <w:rPr>
          <w:rFonts w:eastAsia="Times New Roman" w:cs="Times New Roman"/>
        </w:rPr>
        <w:fldChar w:fldCharType="begin" w:fldLock="1"/>
      </w:r>
      <w:r w:rsidR="00D066E6">
        <w:rPr>
          <w:rFonts w:eastAsia="Times New Roman" w:cs="Times New Roman"/>
        </w:rPr>
        <w:instrText>ADDIN CSL_CITATION {"citationItems":[{"id":"ITEM-1","itemData":{"DOI":"10.1093/nar/gkh061","ISSN":"03051048","abstract":"The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FTP.","author":[{"dropping-particle":"","family":"Bodenreider","given":"Olivier","non-dropping-particle":"","parse-names":false,"suffix":""}],"container-title":"Nucleic Acids Research","id":"ITEM-1","issue":"DATABASE ISS.","issued":{"date-parts":[["2004"]]},"page":"267-270","title":"The Unified Medical Language System (UMLS): Integrating biomedical terminology","type":"article-journal","volume":"32"},"uris":["http://www.mendeley.com/documents/?uuid=96970133-dc43-4eae-b7cf-ab31afb0d9a6"]}],"mendeley":{"formattedCitation":"&lt;sup&gt;17&lt;/sup&gt;","plainTextFormattedCitation":"17","previouslyFormattedCitation":"&lt;sup&gt;17&lt;/sup&gt;"},"properties":{"noteIndex":0},"schema":"https://github.com/citation-style-language/schema/raw/master/csl-citation.json"}</w:instrText>
      </w:r>
      <w:r w:rsidR="00EF3625">
        <w:rPr>
          <w:rFonts w:eastAsia="Times New Roman" w:cs="Times New Roman"/>
        </w:rPr>
        <w:fldChar w:fldCharType="separate"/>
      </w:r>
      <w:r w:rsidR="00DD30B1" w:rsidRPr="00DD30B1">
        <w:rPr>
          <w:rFonts w:eastAsia="Times New Roman" w:cs="Times New Roman"/>
          <w:noProof/>
          <w:vertAlign w:val="superscript"/>
        </w:rPr>
        <w:t>17</w:t>
      </w:r>
      <w:r w:rsidR="00EF3625">
        <w:rPr>
          <w:rFonts w:eastAsia="Times New Roman" w:cs="Times New Roman"/>
        </w:rPr>
        <w:fldChar w:fldCharType="end"/>
      </w:r>
      <w:r>
        <w:rPr>
          <w:rFonts w:eastAsia="Times New Roman" w:cs="Times New Roman"/>
        </w:rPr>
        <w:t xml:space="preserve"> </w:t>
      </w:r>
      <w:hyperlink r:id="rId9" w:history="1">
        <w:r>
          <w:rPr>
            <w:rStyle w:val="Hyperlink"/>
            <w:rFonts w:eastAsia="Times New Roman" w:cs="Times New Roman"/>
          </w:rPr>
          <w:t>https://www.nlm.nih.gov/research/umls/knowledge_sources/metathesaurus/</w:t>
        </w:r>
      </w:hyperlink>
    </w:p>
    <w:p w14:paraId="225D990D" w14:textId="77777777" w:rsidR="001F79DF" w:rsidRDefault="001F79DF" w:rsidP="00293BFB">
      <w:pPr>
        <w:rPr>
          <w:rFonts w:eastAsia="Times New Roman" w:cs="Times New Roman"/>
          <w:lang w:val="en-US"/>
        </w:rPr>
      </w:pPr>
    </w:p>
    <w:p w14:paraId="0A933F38" w14:textId="5715FA3B" w:rsidR="00EF3625" w:rsidRDefault="00EF3625" w:rsidP="00293BFB">
      <w:pPr>
        <w:rPr>
          <w:rFonts w:eastAsia="Times New Roman" w:cs="Times New Roman"/>
          <w:lang w:val="en-US" w:eastAsia="zh-CN"/>
        </w:rPr>
      </w:pPr>
      <w:r>
        <w:rPr>
          <w:rFonts w:eastAsia="Times New Roman" w:cs="Times New Roman"/>
          <w:lang w:val="en-US"/>
        </w:rPr>
        <w:t xml:space="preserve">Compared with using ICD code in billing data alone for </w:t>
      </w:r>
      <w:r w:rsidR="00DD30B1">
        <w:rPr>
          <w:rFonts w:eastAsia="Times New Roman" w:cs="Times New Roman"/>
          <w:lang w:val="en-US"/>
        </w:rPr>
        <w:t>treatment resistant depression as a model</w:t>
      </w:r>
      <w:r w:rsidR="00DD30B1">
        <w:rPr>
          <w:rFonts w:eastAsia="Times New Roman" w:cs="Times New Roman"/>
          <w:lang w:val="en-US"/>
        </w:rPr>
        <w:fldChar w:fldCharType="begin" w:fldLock="1"/>
      </w:r>
      <w:r w:rsidR="00D066E6">
        <w:rPr>
          <w:rFonts w:eastAsia="Times New Roman" w:cs="Times New Roman"/>
          <w:lang w:val="en-US"/>
        </w:rPr>
        <w:instrText>ADDIN CSL_CITATION {"citationItems":[{"id":"ITEM-1","itemData":{"DOI":"10.1017/S0033291711000997","ISSN":"00332917","abstract":"BACKGROUND: Electronic medical records (EMR) provide a unique opportunity for efficient, large-scale clinical investigation in psychiatry. However, such studies will require development of tools to define treatment outcome.\\n\\nMETHOD: Natural language processing (NLP) was applied to classify notes from 127 504 patients with a billing diagnosis of major depressive disorder, drawn from out-patient psychiatry practices affiliated with multiple, large New England hospitals. Classifications were compared with results using billing data (ICD-9 codes) alone and to a clinical gold standard based on chart review by a panel of senior clinicians. These cross-sectional classifications were then used to define longitudinal treatment outcomes, which were compared with a clinician-rated gold standard.\\n\\nRESULTS: Models incorporating NLP were superior to those relying on billing data alone for classifying current mood state (area under receiver operating characteristic curve of 0.85-0.88 v. 0.54-0.55). When these cross-sectional visits were integrated to define longitudinal outcomes and incorporate treatment data, 15% of the cohort remitted with a single antidepressant treatment, while 13% were identified as failing to remit despite at least two antidepressant trials. Non-remitting patients were more likely to be non-Caucasian (p&lt;0.001).\\n\\nCONCLUSIONS: The application of bioinformatics tools such as NLP should enable accurate and efficient determination of longitudinal outcomes, enabling existing EMR data to be applied to clinical research, including biomarker investigations. Continued development will be required to better address moderators of outcome such as adherence and co-morbidity.","author":[{"dropping-particle":"","family":"Perlis","given":"R. H.","non-dropping-particle":"","parse-names":false,"suffix":""},{"dropping-particle":"V.","family":"Iosifescu","given":"D.","non-dropping-particle":"","parse-names":false,"suffix":""},{"dropping-particle":"","family":"Castro","given":"V. M.","non-dropping-particle":"","parse-names":false,"suffix":""},{"dropping-particle":"","family":"Murphy","given":"S. N.","non-dropping-particle":"","parse-names":false,"suffix":""},{"dropping-particle":"","family":"Gainer","given":"V. S.","non-dropping-particle":"","parse-names":false,"suffix":""},{"dropping-particle":"","family":"Minnier","given":"J.","non-dropping-particle":"","parse-names":false,"suffix":""},{"dropping-particle":"","family":"Cai","given":"T.","non-dropping-particle":"","parse-names":false,"suffix":""},{"dropping-particle":"","family":"Goryachev","given":"S.","non-dropping-particle":"","parse-names":false,"suffix":""},{"dropping-particle":"","family":"Zeng","given":"Q.","non-dropping-particle":"","parse-names":false,"suffix":""},{"dropping-particle":"","family":"Gallagher","given":"P. J.","non-dropping-particle":"","parse-names":false,"suffix":""},{"dropping-particle":"","family":"Fava","given":"M.","non-dropping-particle":"","parse-names":false,"suffix":""},{"dropping-particle":"","family":"Weilburg","given":"J. B.","non-dropping-particle":"","parse-names":false,"suffix":""},{"dropping-particle":"","family":"Churchill","given":"S. E.","non-dropping-particle":"","parse-names":false,"suffix":""},{"dropping-particle":"","family":"Kohane","given":"I. S.","non-dropping-particle":"","parse-names":false,"suffix":""},{"dropping-particle":"","family":"Smoller","given":"J. W.","non-dropping-particle":"","parse-names":false,"suffix":""}],"container-title":"Psychological Medicine","id":"ITEM-1","issue":"1","issued":{"date-parts":[["2012"]]},"page":"41-50","title":"Using electronic medical records to enable large-scale studies in psychiatry: Treatment resistant depression as a model","type":"article-journal","volume":"42"},"uris":["http://www.mendeley.com/documents/?uuid=d1473314-47fc-4fa9-b965-2f8d4d951aed"]}],"mendeley":{"formattedCitation":"&lt;sup&gt;18&lt;/sup&gt;","plainTextFormattedCitation":"18","previouslyFormattedCitation":"&lt;sup&gt;18&lt;/sup&gt;"},"properties":{"noteIndex":0},"schema":"https://github.com/citation-style-language/schema/raw/master/csl-citation.json"}</w:instrText>
      </w:r>
      <w:r w:rsidR="00DD30B1">
        <w:rPr>
          <w:rFonts w:eastAsia="Times New Roman" w:cs="Times New Roman"/>
          <w:lang w:val="en-US"/>
        </w:rPr>
        <w:fldChar w:fldCharType="separate"/>
      </w:r>
      <w:r w:rsidR="00DD30B1" w:rsidRPr="00DD30B1">
        <w:rPr>
          <w:rFonts w:eastAsia="Times New Roman" w:cs="Times New Roman"/>
          <w:noProof/>
          <w:vertAlign w:val="superscript"/>
          <w:lang w:val="en-US"/>
        </w:rPr>
        <w:t>18</w:t>
      </w:r>
      <w:r w:rsidR="00DD30B1">
        <w:rPr>
          <w:rFonts w:eastAsia="Times New Roman" w:cs="Times New Roman"/>
          <w:lang w:val="en-US"/>
        </w:rPr>
        <w:fldChar w:fldCharType="end"/>
      </w:r>
      <w:r w:rsidR="00DD30B1">
        <w:rPr>
          <w:rFonts w:eastAsia="Times New Roman" w:cs="Times New Roman"/>
          <w:lang w:val="en-US"/>
        </w:rPr>
        <w:t>.</w:t>
      </w:r>
    </w:p>
    <w:p w14:paraId="79409E23" w14:textId="3F9B4F06" w:rsidR="00DD30B1" w:rsidRDefault="00DD30B1" w:rsidP="00293BFB">
      <w:pPr>
        <w:rPr>
          <w:rFonts w:eastAsia="Times New Roman" w:cs="Times New Roman"/>
          <w:lang w:val="en-US"/>
        </w:rPr>
      </w:pPr>
      <w:r>
        <w:rPr>
          <w:rFonts w:eastAsia="Times New Roman" w:cs="Times New Roman"/>
          <w:lang w:val="en-US"/>
        </w:rPr>
        <w:t>Using NLP in EMR to identify pregnant women with suicidal behavior: towards a solution to the complex classification problem</w:t>
      </w:r>
      <w:r>
        <w:rPr>
          <w:rFonts w:eastAsia="Times New Roman" w:cs="Times New Roman"/>
          <w:lang w:val="en-US"/>
        </w:rPr>
        <w:fldChar w:fldCharType="begin" w:fldLock="1"/>
      </w:r>
      <w:r>
        <w:rPr>
          <w:rFonts w:eastAsia="Times New Roman" w:cs="Times New Roman"/>
          <w:lang w:val="en-US"/>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mendeley":{"formattedCitation":"&lt;sup&gt;19&lt;/sup&gt;","plainTextFormattedCitation":"19","previouslyFormattedCitation":"&lt;sup&gt;19&lt;/sup&gt;"},"properties":{"noteIndex":0},"schema":"https://github.com/citation-style-language/schema/raw/master/csl-citation.json"}</w:instrText>
      </w:r>
      <w:r>
        <w:rPr>
          <w:rFonts w:eastAsia="Times New Roman" w:cs="Times New Roman"/>
          <w:lang w:val="en-US"/>
        </w:rPr>
        <w:fldChar w:fldCharType="separate"/>
      </w:r>
      <w:r w:rsidRPr="00DD30B1">
        <w:rPr>
          <w:rFonts w:eastAsia="Times New Roman" w:cs="Times New Roman"/>
          <w:noProof/>
          <w:vertAlign w:val="superscript"/>
          <w:lang w:val="en-US"/>
        </w:rPr>
        <w:t>19</w:t>
      </w:r>
      <w:r>
        <w:rPr>
          <w:rFonts w:eastAsia="Times New Roman" w:cs="Times New Roman"/>
          <w:lang w:val="en-US"/>
        </w:rPr>
        <w:fldChar w:fldCharType="end"/>
      </w:r>
      <w:r>
        <w:rPr>
          <w:rFonts w:eastAsia="Times New Roman" w:cs="Times New Roman"/>
          <w:lang w:val="en-US"/>
        </w:rPr>
        <w:t>.</w:t>
      </w:r>
    </w:p>
    <w:p w14:paraId="6122A759" w14:textId="77777777" w:rsidR="00703718" w:rsidRDefault="00703718" w:rsidP="00293BFB">
      <w:pPr>
        <w:rPr>
          <w:rFonts w:eastAsia="Times New Roman" w:cs="Times New Roman"/>
          <w:lang w:val="en-US"/>
        </w:rPr>
      </w:pPr>
    </w:p>
    <w:p w14:paraId="097ADA20" w14:textId="07E580A0" w:rsidR="00703718" w:rsidRDefault="00703718" w:rsidP="00703718">
      <w:pPr>
        <w:pStyle w:val="Heading2"/>
        <w:rPr>
          <w:rFonts w:eastAsia="Times New Roman" w:cs="Times New Roman"/>
          <w:lang w:val="en-US" w:eastAsia="zh-CN"/>
        </w:rPr>
      </w:pPr>
      <w:bookmarkStart w:id="7" w:name="_Toc427336639"/>
      <w:r>
        <w:rPr>
          <w:rFonts w:hint="eastAsia"/>
          <w:lang w:val="en-US" w:eastAsia="zh-CN"/>
        </w:rPr>
        <w:t>自然</w:t>
      </w:r>
      <w:r>
        <w:rPr>
          <w:rFonts w:ascii="宋体" w:eastAsia="宋体" w:hAnsi="宋体" w:cs="宋体" w:hint="eastAsia"/>
          <w:lang w:val="en-US" w:eastAsia="zh-CN"/>
        </w:rPr>
        <w:t>语</w:t>
      </w:r>
      <w:r>
        <w:rPr>
          <w:rFonts w:hint="eastAsia"/>
          <w:lang w:val="en-US" w:eastAsia="zh-CN"/>
        </w:rPr>
        <w:t>言</w:t>
      </w:r>
      <w:r>
        <w:rPr>
          <w:rFonts w:ascii="宋体" w:eastAsia="宋体" w:hAnsi="宋体" w:cs="宋体" w:hint="eastAsia"/>
          <w:lang w:val="en-US" w:eastAsia="zh-CN"/>
        </w:rPr>
        <w:t>处</w:t>
      </w:r>
      <w:r>
        <w:rPr>
          <w:rFonts w:hint="eastAsia"/>
          <w:lang w:val="en-US" w:eastAsia="zh-CN"/>
        </w:rPr>
        <w:t>理</w:t>
      </w:r>
      <w:bookmarkEnd w:id="7"/>
    </w:p>
    <w:p w14:paraId="59D7C576" w14:textId="5171ED98" w:rsidR="00157B56" w:rsidRDefault="00157B56" w:rsidP="00157B56">
      <w:pPr>
        <w:pStyle w:val="Heading3"/>
        <w:rPr>
          <w:lang w:val="en-US" w:eastAsia="zh-CN"/>
        </w:rPr>
      </w:pPr>
      <w:r>
        <w:rPr>
          <w:rFonts w:hint="eastAsia"/>
          <w:lang w:val="en-US" w:eastAsia="zh-CN"/>
        </w:rPr>
        <w:t>工具</w:t>
      </w:r>
      <w:proofErr w:type="spellStart"/>
      <w:r>
        <w:rPr>
          <w:rFonts w:hint="eastAsia"/>
          <w:lang w:val="en-US" w:eastAsia="zh-CN"/>
        </w:rPr>
        <w:t>cTAKES</w:t>
      </w:r>
      <w:proofErr w:type="spellEnd"/>
    </w:p>
    <w:p w14:paraId="0A842A75" w14:textId="0A583189" w:rsidR="00703718" w:rsidRDefault="00703718" w:rsidP="00293BFB">
      <w:pPr>
        <w:rPr>
          <w:rFonts w:eastAsia="Times New Roman" w:cs="Times New Roman"/>
          <w:lang w:val="en-US" w:eastAsia="zh-CN"/>
        </w:rPr>
      </w:pPr>
      <w:r>
        <w:rPr>
          <w:rFonts w:ascii="Songti SC Regular" w:eastAsia="Songti SC Regular" w:hAnsi="Songti SC Regular" w:cs="Songti SC Regular" w:hint="eastAsia"/>
          <w:lang w:val="en-US" w:eastAsia="zh-CN"/>
        </w:rPr>
        <w:t>基于</w:t>
      </w:r>
      <w:proofErr w:type="spellStart"/>
      <w:r>
        <w:rPr>
          <w:rFonts w:eastAsia="Times New Roman" w:cs="Times New Roman" w:hint="eastAsia"/>
          <w:lang w:val="en-US" w:eastAsia="zh-CN"/>
        </w:rPr>
        <w:t>physicians</w:t>
      </w:r>
      <w:r>
        <w:rPr>
          <w:rFonts w:eastAsia="Times New Roman" w:cs="Times New Roman"/>
          <w:lang w:val="en-US" w:eastAsia="zh-CN"/>
        </w:rPr>
        <w:t>’</w:t>
      </w:r>
      <w:r>
        <w:rPr>
          <w:rFonts w:eastAsia="Times New Roman" w:cs="Times New Roman" w:hint="eastAsia"/>
          <w:lang w:val="en-US" w:eastAsia="zh-CN"/>
        </w:rPr>
        <w:t>s</w:t>
      </w:r>
      <w:proofErr w:type="spellEnd"/>
      <w:r>
        <w:rPr>
          <w:rFonts w:eastAsia="Times New Roman" w:cs="Times New Roman" w:hint="eastAsia"/>
          <w:lang w:val="en-US" w:eastAsia="zh-CN"/>
        </w:rPr>
        <w:t xml:space="preserve"> notes and radiology reports offers a </w:t>
      </w:r>
      <w:r>
        <w:rPr>
          <w:rFonts w:eastAsia="Times New Roman" w:cs="Times New Roman"/>
          <w:lang w:val="en-US" w:eastAsia="zh-CN"/>
        </w:rPr>
        <w:t>valuable</w:t>
      </w:r>
      <w:r>
        <w:rPr>
          <w:rFonts w:eastAsia="Times New Roman" w:cs="Times New Roman" w:hint="eastAsia"/>
          <w:lang w:val="en-US" w:eastAsia="zh-CN"/>
        </w:rPr>
        <w:t xml:space="preserve"> </w:t>
      </w:r>
      <w:r>
        <w:rPr>
          <w:rFonts w:eastAsia="Times New Roman" w:cs="Times New Roman"/>
          <w:lang w:val="en-US" w:eastAsia="zh-CN"/>
        </w:rPr>
        <w:t>resource</w:t>
      </w:r>
      <w:r>
        <w:rPr>
          <w:rFonts w:eastAsia="Times New Roman" w:cs="Times New Roman" w:hint="eastAsia"/>
          <w:lang w:val="en-US" w:eastAsia="zh-CN"/>
        </w:rPr>
        <w:t xml:space="preserve"> for </w:t>
      </w:r>
      <w:r>
        <w:rPr>
          <w:rFonts w:eastAsia="Times New Roman" w:cs="Times New Roman"/>
          <w:lang w:val="en-US" w:eastAsia="zh-CN"/>
        </w:rPr>
        <w:t>defining</w:t>
      </w:r>
      <w:r>
        <w:rPr>
          <w:rFonts w:eastAsia="Times New Roman" w:cs="Times New Roman" w:hint="eastAsia"/>
          <w:lang w:val="en-US" w:eastAsia="zh-CN"/>
        </w:rPr>
        <w:t xml:space="preserve"> clinical </w:t>
      </w:r>
      <w:proofErr w:type="spellStart"/>
      <w:r>
        <w:rPr>
          <w:rFonts w:eastAsia="Times New Roman" w:cs="Times New Roman"/>
          <w:lang w:val="en-US" w:eastAsia="zh-CN"/>
        </w:rPr>
        <w:t>phenol</w:t>
      </w:r>
      <w:r>
        <w:rPr>
          <w:rFonts w:eastAsia="Times New Roman" w:cs="Times New Roman" w:hint="eastAsia"/>
          <w:lang w:val="en-US" w:eastAsia="zh-CN"/>
        </w:rPr>
        <w:t>ypes</w:t>
      </w:r>
      <w:proofErr w:type="spellEnd"/>
      <w:r>
        <w:rPr>
          <w:rFonts w:eastAsia="Times New Roman" w:cs="Times New Roman" w:hint="eastAsia"/>
          <w:lang w:val="en-US" w:eastAsia="zh-CN"/>
        </w:rPr>
        <w:t>.</w:t>
      </w:r>
    </w:p>
    <w:p w14:paraId="24694B12" w14:textId="41EA4ED3" w:rsidR="00157B56" w:rsidRDefault="00703718" w:rsidP="00293BFB">
      <w:pPr>
        <w:rPr>
          <w:rFonts w:ascii="Songti SC Regular" w:eastAsia="Songti SC Regular" w:hAnsi="Songti SC Regular" w:cs="Songti SC Regular"/>
          <w:lang w:val="en-US" w:eastAsia="zh-CN"/>
        </w:rPr>
      </w:pPr>
      <w:proofErr w:type="spellStart"/>
      <w:r>
        <w:rPr>
          <w:rFonts w:eastAsia="Times New Roman" w:cs="Times New Roman"/>
          <w:lang w:val="en-US" w:eastAsia="zh-CN"/>
        </w:rPr>
        <w:t>Zhong</w:t>
      </w:r>
      <w:proofErr w:type="spellEnd"/>
      <w:r>
        <w:rPr>
          <w:rFonts w:ascii="Songti SC Regular" w:eastAsia="Songti SC Regular" w:hAnsi="Songti SC Regular" w:cs="Songti SC Regular" w:hint="eastAsia"/>
          <w:lang w:val="en-US" w:eastAsia="zh-CN"/>
        </w:rPr>
        <w:t>就报告了一个用</w:t>
      </w:r>
      <w:proofErr w:type="spellStart"/>
      <w:r>
        <w:rPr>
          <w:rFonts w:ascii="Songti SC Regular" w:eastAsia="Songti SC Regular" w:hAnsi="Songti SC Regular" w:cs="Songti SC Regular" w:hint="eastAsia"/>
          <w:lang w:val="en-US" w:eastAsia="zh-CN"/>
        </w:rPr>
        <w:t>cTAKES</w:t>
      </w:r>
      <w:proofErr w:type="spellEnd"/>
      <w:r w:rsidR="00FF2FCB">
        <w:rPr>
          <w:rFonts w:ascii="Songti SC Regular" w:eastAsia="Songti SC Regular" w:hAnsi="Songti SC Regular" w:cs="Songti SC Regular"/>
          <w:lang w:val="en-US" w:eastAsia="zh-CN"/>
        </w:rPr>
        <w:t>[</w:t>
      </w:r>
      <w:hyperlink r:id="rId10" w:history="1">
        <w:r w:rsidR="0012746E" w:rsidRPr="00C07AF5">
          <w:rPr>
            <w:rStyle w:val="Hyperlink"/>
            <w:rFonts w:eastAsia="Times New Roman" w:cs="Times New Roman"/>
            <w:lang w:val="en-US"/>
          </w:rPr>
          <w:t>http://ctakes.apache.org/</w:t>
        </w:r>
      </w:hyperlink>
      <w:r w:rsidR="00FF2FCB">
        <w:rPr>
          <w:rStyle w:val="Hyperlink"/>
          <w:rFonts w:eastAsia="Times New Roman" w:cs="Times New Roman"/>
          <w:lang w:val="en-US"/>
        </w:rPr>
        <w:t>]</w:t>
      </w:r>
      <w:r w:rsidR="00157B56">
        <w:rPr>
          <w:rFonts w:ascii="Songti SC Regular" w:eastAsia="Songti SC Regular" w:hAnsi="Songti SC Regular" w:cs="Songti SC Regular" w:hint="eastAsia"/>
          <w:lang w:val="en-US" w:eastAsia="zh-CN"/>
        </w:rPr>
        <w:t>技术提取医师记录</w:t>
      </w:r>
      <w:r w:rsidR="00157B56">
        <w:rPr>
          <w:rFonts w:ascii="Songti SC Regular" w:eastAsia="Songti SC Regular" w:hAnsi="Songti SC Regular" w:cs="Songti SC Regular"/>
          <w:lang w:val="en-US" w:eastAsia="zh-CN"/>
        </w:rPr>
        <w:fldChar w:fldCharType="begin" w:fldLock="1"/>
      </w:r>
      <w:r w:rsidR="00157B56">
        <w:rPr>
          <w:rFonts w:ascii="Songti SC Regular" w:eastAsia="Songti SC Regular" w:hAnsi="Songti SC Regular" w:cs="Songti SC Regular"/>
          <w:lang w:val="en-US" w:eastAsia="zh-CN"/>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id":"ITEM-2","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Making","id":"ITEM-2","issued":{"date-parts":[["2018"]]},"page":"30","publisher":"BMC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19,20&lt;/sup&gt;","plainTextFormattedCitation":"19,20","previouslyFormattedCitation":"&lt;sup&gt;19,20&lt;/sup&gt;"},"properties":{"noteIndex":0},"schema":"https://github.com/citation-style-language/schema/raw/master/csl-citation.json"}</w:instrText>
      </w:r>
      <w:r w:rsidR="00157B56">
        <w:rPr>
          <w:rFonts w:ascii="Songti SC Regular" w:eastAsia="Songti SC Regular" w:hAnsi="Songti SC Regular" w:cs="Songti SC Regular"/>
          <w:lang w:val="en-US" w:eastAsia="zh-CN"/>
        </w:rPr>
        <w:fldChar w:fldCharType="separate"/>
      </w:r>
      <w:r w:rsidR="00157B56" w:rsidRPr="00157B56">
        <w:rPr>
          <w:rFonts w:ascii="Songti SC Regular" w:eastAsia="Songti SC Regular" w:hAnsi="Songti SC Regular" w:cs="Songti SC Regular"/>
          <w:noProof/>
          <w:vertAlign w:val="superscript"/>
          <w:lang w:val="en-US" w:eastAsia="zh-CN"/>
        </w:rPr>
        <w:t>19,20</w:t>
      </w:r>
      <w:r w:rsidR="00157B56">
        <w:rPr>
          <w:rFonts w:ascii="Songti SC Regular" w:eastAsia="Songti SC Regular" w:hAnsi="Songti SC Regular" w:cs="Songti SC Regular"/>
          <w:lang w:val="en-US" w:eastAsia="zh-CN"/>
        </w:rPr>
        <w:fldChar w:fldCharType="end"/>
      </w:r>
    </w:p>
    <w:p w14:paraId="0F561D56" w14:textId="33F5E464" w:rsidR="00157B56" w:rsidRDefault="00157B56" w:rsidP="00293BFB">
      <w:pPr>
        <w:rPr>
          <w:rFonts w:ascii="Songti SC Regular" w:eastAsia="Songti SC Regular" w:hAnsi="Songti SC Regular" w:cs="Songti SC Regular"/>
          <w:lang w:val="en-US" w:eastAsia="zh-CN"/>
        </w:rPr>
      </w:pPr>
      <w:r>
        <w:rPr>
          <w:rFonts w:ascii="Songti SC Regular" w:eastAsia="Songti SC Regular" w:hAnsi="Songti SC Regular" w:cs="Songti SC Regular"/>
          <w:lang w:val="en-US" w:eastAsia="zh-CN"/>
        </w:rPr>
        <w:t>“</w:t>
      </w:r>
      <w:r w:rsidRPr="00157B56">
        <w:rPr>
          <w:rFonts w:ascii="Songti SC Regular" w:eastAsia="Songti SC Regular" w:hAnsi="Songti SC Regular" w:cs="Songti SC Regular"/>
          <w:lang w:val="en-US" w:eastAsia="zh-CN"/>
        </w:rPr>
        <w:t xml:space="preserve">Based on the Unstructured Information Management Architecture (UIMA),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is a comprehensive clinical NLP tool that processes clinical notes and identifies terms.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maps the terms to a subset of the Unified Medical Language System (UMLS) </w:t>
      </w:r>
      <w:proofErr w:type="spellStart"/>
      <w:r w:rsidRPr="00157B56">
        <w:rPr>
          <w:rFonts w:ascii="Songti SC Regular" w:eastAsia="Songti SC Regular" w:hAnsi="Songti SC Regular" w:cs="Songti SC Regular"/>
          <w:lang w:val="en-US" w:eastAsia="zh-CN"/>
        </w:rPr>
        <w:t>Metathesaurus</w:t>
      </w:r>
      <w:proofErr w:type="spellEnd"/>
      <w:r>
        <w:rPr>
          <w:rFonts w:ascii="Songti SC Regular" w:eastAsia="Songti SC Regular" w:hAnsi="Songti SC Regular" w:cs="Songti SC Regular"/>
          <w:lang w:val="en-US" w:eastAsia="zh-CN"/>
        </w:rPr>
        <w:t xml:space="preserve"> </w:t>
      </w:r>
      <w:r w:rsidRPr="00157B56">
        <w:rPr>
          <w:rFonts w:ascii="Songti SC Regular" w:eastAsia="Songti SC Regular" w:hAnsi="Songti SC Regular" w:cs="Songti SC Regular"/>
          <w:lang w:val="en-US" w:eastAsia="zh-CN"/>
        </w:rPr>
        <w:t xml:space="preserve">the Systemized Nomenclature of Medicine-Clinical Terms (SNOMED-CT) [42], and assigns each term a UMLS con- </w:t>
      </w:r>
      <w:proofErr w:type="spellStart"/>
      <w:r w:rsidRPr="00157B56">
        <w:rPr>
          <w:rFonts w:ascii="Songti SC Regular" w:eastAsia="Songti SC Regular" w:hAnsi="Songti SC Regular" w:cs="Songti SC Regular"/>
          <w:lang w:val="en-US" w:eastAsia="zh-CN"/>
        </w:rPr>
        <w:t>cept</w:t>
      </w:r>
      <w:proofErr w:type="spellEnd"/>
      <w:r w:rsidRPr="00157B56">
        <w:rPr>
          <w:rFonts w:ascii="Songti SC Regular" w:eastAsia="Songti SC Regular" w:hAnsi="Songti SC Regular" w:cs="Songti SC Regular"/>
          <w:lang w:val="en-US" w:eastAsia="zh-CN"/>
        </w:rPr>
        <w:t xml:space="preserve"> unique identifier (CUI)</w:t>
      </w:r>
      <w:r>
        <w:rPr>
          <w:rFonts w:ascii="Songti SC Regular" w:eastAsia="Songti SC Regular" w:hAnsi="Songti SC Regular" w:cs="Songti SC Regular"/>
          <w:lang w:val="en-US" w:eastAsia="zh-CN"/>
        </w:rPr>
        <w:t>”</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p>
    <w:p w14:paraId="75B0197F" w14:textId="77777777" w:rsidR="00157B56" w:rsidRDefault="00157B56" w:rsidP="00293BFB">
      <w:pPr>
        <w:rPr>
          <w:rFonts w:ascii="Songti SC Regular" w:eastAsia="Songti SC Regular" w:hAnsi="Songti SC Regular" w:cs="Songti SC Regular"/>
          <w:lang w:val="en-US" w:eastAsia="zh-CN"/>
        </w:rPr>
      </w:pPr>
    </w:p>
    <w:p w14:paraId="53889AB2" w14:textId="77777777" w:rsidR="009D5D90" w:rsidRDefault="009D5D90" w:rsidP="00293BFB">
      <w:pPr>
        <w:rPr>
          <w:rFonts w:ascii="Songti SC Regular" w:eastAsia="Songti SC Regular" w:hAnsi="Songti SC Regular" w:cs="Songti SC Regular"/>
          <w:lang w:val="en-US" w:eastAsia="zh-CN"/>
        </w:rPr>
      </w:pPr>
    </w:p>
    <w:p w14:paraId="680644C1" w14:textId="77777777" w:rsidR="009D5D90" w:rsidRDefault="009D5D90" w:rsidP="00293BFB">
      <w:pPr>
        <w:rPr>
          <w:rFonts w:ascii="Songti SC Regular" w:eastAsia="Songti SC Regular" w:hAnsi="Songti SC Regular" w:cs="Songti SC Regular"/>
          <w:lang w:val="en-US" w:eastAsia="zh-CN"/>
        </w:rPr>
      </w:pPr>
    </w:p>
    <w:p w14:paraId="00DFDB9D" w14:textId="2ED3953C" w:rsidR="00157B56" w:rsidRDefault="00157B56" w:rsidP="00157B56">
      <w:pPr>
        <w:pStyle w:val="Heading3"/>
        <w:rPr>
          <w:lang w:val="en-US" w:eastAsia="zh-CN"/>
        </w:rPr>
      </w:pPr>
      <w:r>
        <w:rPr>
          <w:rFonts w:ascii="宋体" w:eastAsia="宋体" w:hAnsi="宋体" w:cs="宋体" w:hint="eastAsia"/>
          <w:lang w:val="en-US" w:eastAsia="zh-CN"/>
        </w:rPr>
        <w:t>诊</w:t>
      </w:r>
      <w:r>
        <w:rPr>
          <w:rFonts w:hint="eastAsia"/>
          <w:lang w:val="en-US" w:eastAsia="zh-CN"/>
        </w:rPr>
        <w:t>断</w:t>
      </w:r>
      <w:r>
        <w:rPr>
          <w:rFonts w:ascii="宋体" w:eastAsia="宋体" w:hAnsi="宋体" w:cs="宋体" w:hint="eastAsia"/>
          <w:lang w:val="en-US" w:eastAsia="zh-CN"/>
        </w:rPr>
        <w:t>实</w:t>
      </w:r>
      <w:r>
        <w:rPr>
          <w:rFonts w:hint="eastAsia"/>
          <w:lang w:val="en-US" w:eastAsia="zh-CN"/>
        </w:rPr>
        <w:t>例</w:t>
      </w:r>
    </w:p>
    <w:p w14:paraId="331A1303" w14:textId="3AA37ECC" w:rsidR="00703718" w:rsidRDefault="00157B56" w:rsidP="00293BFB">
      <w:pPr>
        <w:rPr>
          <w:rFonts w:ascii="Songti SC Regular" w:eastAsia="Songti SC Regular" w:hAnsi="Songti SC Regular" w:cs="Songti SC Regular"/>
          <w:lang w:val="en-US" w:eastAsia="zh-CN"/>
        </w:rPr>
      </w:pPr>
      <w:r>
        <w:rPr>
          <w:rFonts w:ascii="Songti SC Regular" w:eastAsia="Songti SC Regular" w:hAnsi="Songti SC Regular" w:cs="Songti SC Regular" w:hint="eastAsia"/>
          <w:lang w:val="en-US" w:eastAsia="zh-CN"/>
        </w:rPr>
        <w:t>以Partners Healthcare System的数据为例</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r>
        <w:rPr>
          <w:rFonts w:ascii="Songti SC Regular" w:eastAsia="Songti SC Regular" w:hAnsi="Songti SC Regular" w:cs="Songti SC Regular" w:hint="eastAsia"/>
          <w:lang w:val="en-US" w:eastAsia="zh-CN"/>
        </w:rPr>
        <w:t>，</w:t>
      </w:r>
      <w:r w:rsidR="00703718">
        <w:rPr>
          <w:rFonts w:ascii="Songti SC Regular" w:eastAsia="Songti SC Regular" w:hAnsi="Songti SC Regular" w:cs="Songti SC Regular" w:hint="eastAsia"/>
          <w:lang w:val="en-US" w:eastAsia="zh-CN"/>
        </w:rPr>
        <w:t>诊断孕妇是否有</w:t>
      </w:r>
      <w:r w:rsidR="0012746E">
        <w:rPr>
          <w:rFonts w:ascii="Songti SC Regular" w:eastAsia="Songti SC Regular" w:hAnsi="Songti SC Regular" w:cs="Songti SC Regular" w:hint="eastAsia"/>
          <w:lang w:val="en-US" w:eastAsia="zh-CN"/>
        </w:rPr>
        <w:t>自杀倾向，</w:t>
      </w:r>
      <w:r w:rsidR="00FD60B5">
        <w:rPr>
          <w:rFonts w:ascii="Songti SC Regular" w:eastAsia="Songti SC Regular" w:hAnsi="Songti SC Regular" w:cs="Songti SC Regular" w:hint="eastAsia"/>
          <w:lang w:val="en-US" w:eastAsia="zh-CN"/>
        </w:rPr>
        <w:t>虽然可以提高sensitivity，</w:t>
      </w:r>
      <w:r w:rsidR="0012746E">
        <w:rPr>
          <w:rFonts w:ascii="Songti SC Regular" w:eastAsia="Songti SC Regular" w:hAnsi="Songti SC Regular" w:cs="Songti SC Regular" w:hint="eastAsia"/>
          <w:lang w:val="en-US" w:eastAsia="zh-CN"/>
        </w:rPr>
        <w:t>但有很高的假阳性，只有30%用NLP发现的case通过人工审查确认是真实的</w:t>
      </w:r>
      <w:r w:rsidR="0012746E">
        <w:rPr>
          <w:rFonts w:ascii="Songti SC Regular" w:eastAsia="Songti SC Regular" w:hAnsi="Songti SC Regular" w:cs="Songti SC Regular"/>
          <w:lang w:val="en-US" w:eastAsia="zh-CN"/>
        </w:rPr>
        <w:fldChar w:fldCharType="begin" w:fldLock="1"/>
      </w:r>
      <w:r w:rsidR="0012746E">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12746E">
        <w:rPr>
          <w:rFonts w:ascii="Songti SC Regular" w:eastAsia="Songti SC Regular" w:hAnsi="Songti SC Regular" w:cs="Songti SC Regular"/>
          <w:lang w:val="en-US" w:eastAsia="zh-CN"/>
        </w:rPr>
        <w:fldChar w:fldCharType="separate"/>
      </w:r>
      <w:r w:rsidR="0012746E" w:rsidRPr="0012746E">
        <w:rPr>
          <w:rFonts w:ascii="Songti SC Regular" w:eastAsia="Songti SC Regular" w:hAnsi="Songti SC Regular" w:cs="Songti SC Regular"/>
          <w:noProof/>
          <w:vertAlign w:val="superscript"/>
          <w:lang w:val="en-US" w:eastAsia="zh-CN"/>
        </w:rPr>
        <w:t>20</w:t>
      </w:r>
      <w:r w:rsidR="0012746E">
        <w:rPr>
          <w:rFonts w:ascii="Songti SC Regular" w:eastAsia="Songti SC Regular" w:hAnsi="Songti SC Regular" w:cs="Songti SC Regular"/>
          <w:lang w:val="en-US" w:eastAsia="zh-CN"/>
        </w:rPr>
        <w:fldChar w:fldCharType="end"/>
      </w:r>
      <w:r w:rsidR="0012746E">
        <w:rPr>
          <w:rFonts w:ascii="Songti SC Regular" w:eastAsia="Songti SC Regular" w:hAnsi="Songti SC Regular" w:cs="Songti SC Regular" w:hint="eastAsia"/>
          <w:lang w:val="en-US" w:eastAsia="zh-CN"/>
        </w:rPr>
        <w:t>。</w:t>
      </w:r>
      <w:r w:rsidR="009D5D90">
        <w:rPr>
          <w:rFonts w:ascii="Songti SC Regular" w:eastAsia="Songti SC Regular" w:hAnsi="Songti SC Regular" w:cs="Songti SC Regular" w:hint="eastAsia"/>
          <w:lang w:val="en-US" w:eastAsia="zh-CN"/>
        </w:rPr>
        <w:t>这也是NLP处理数据时候面临的问题，比如</w:t>
      </w:r>
    </w:p>
    <w:p w14:paraId="2D4433AC" w14:textId="77777777" w:rsidR="009D5D90" w:rsidRDefault="009D5D90" w:rsidP="00293BFB">
      <w:pPr>
        <w:rPr>
          <w:rFonts w:ascii="Songti SC Regular" w:eastAsia="Songti SC Regular" w:hAnsi="Songti SC Regular" w:cs="Songti SC Regular"/>
          <w:lang w:val="en-US" w:eastAsia="zh-CN"/>
        </w:rPr>
      </w:pPr>
    </w:p>
    <w:p w14:paraId="2C7F25FA" w14:textId="157564ED" w:rsidR="009D5D90" w:rsidRPr="009D5D90" w:rsidRDefault="009D5D90" w:rsidP="009D5D90">
      <w:pPr>
        <w:widowControl w:val="0"/>
        <w:autoSpaceDE w:val="0"/>
        <w:autoSpaceDN w:val="0"/>
        <w:adjustRightInd w:val="0"/>
        <w:rPr>
          <w:rFonts w:cs="Times New Roman"/>
          <w:color w:val="131413"/>
          <w:lang w:val="en-US" w:eastAsia="zh-CN"/>
        </w:rPr>
      </w:pPr>
      <w:r>
        <w:rPr>
          <w:rFonts w:cs="Times New Roman" w:hint="eastAsia"/>
          <w:color w:val="131413"/>
          <w:lang w:val="en-US" w:eastAsia="zh-CN"/>
        </w:rPr>
        <w:t>“</w:t>
      </w:r>
      <w:r w:rsidRPr="009D5D90">
        <w:rPr>
          <w:rFonts w:cs="Times New Roman"/>
          <w:color w:val="131413"/>
          <w:lang w:val="en-US"/>
        </w:rPr>
        <w:t>In the Partners HealthCare</w:t>
      </w:r>
      <w:r w:rsidRPr="009D5D90">
        <w:rPr>
          <w:rFonts w:cs="Times New Roman" w:hint="eastAsia"/>
          <w:color w:val="131413"/>
          <w:lang w:val="en-US" w:eastAsia="zh-CN"/>
        </w:rPr>
        <w:t xml:space="preserve"> </w:t>
      </w:r>
      <w:r w:rsidRPr="009D5D90">
        <w:rPr>
          <w:rFonts w:cs="Times New Roman"/>
          <w:color w:val="131413"/>
          <w:lang w:val="en-US"/>
        </w:rPr>
        <w:t>EMRs, we observed a major negation structure for suicidal</w:t>
      </w:r>
      <w:r w:rsidRPr="009D5D90">
        <w:rPr>
          <w:rFonts w:cs="Times New Roman" w:hint="eastAsia"/>
          <w:color w:val="131413"/>
          <w:lang w:val="en-US" w:eastAsia="zh-CN"/>
        </w:rPr>
        <w:t xml:space="preserve"> </w:t>
      </w:r>
      <w:r w:rsidRPr="009D5D90">
        <w:rPr>
          <w:rFonts w:cs="Times New Roman"/>
          <w:color w:val="131413"/>
          <w:lang w:val="en-US"/>
        </w:rPr>
        <w:t>behavior: terms related to suicidal behavior were followed</w:t>
      </w:r>
      <w:r w:rsidRPr="009D5D90">
        <w:rPr>
          <w:rFonts w:cs="Times New Roman" w:hint="eastAsia"/>
          <w:color w:val="131413"/>
          <w:lang w:val="en-US" w:eastAsia="zh-CN"/>
        </w:rPr>
        <w:t xml:space="preserve"> </w:t>
      </w:r>
      <w:r w:rsidRPr="009D5D90">
        <w:rPr>
          <w:rFonts w:cs="Times New Roman"/>
          <w:color w:val="131413"/>
          <w:lang w:val="en-US"/>
        </w:rPr>
        <w:t>by a colon and a negation word without any sentence</w:t>
      </w:r>
      <w:r w:rsidRPr="009D5D90">
        <w:rPr>
          <w:rFonts w:cs="Times New Roman" w:hint="eastAsia"/>
          <w:color w:val="131413"/>
          <w:lang w:val="en-US" w:eastAsia="zh-CN"/>
        </w:rPr>
        <w:t xml:space="preserve"> </w:t>
      </w:r>
      <w:r w:rsidRPr="009D5D90">
        <w:rPr>
          <w:rFonts w:cs="Times New Roman"/>
          <w:color w:val="131413"/>
          <w:lang w:val="en-US"/>
        </w:rPr>
        <w:t>punctuation (e.g., “</w:t>
      </w:r>
      <w:r w:rsidRPr="009D5D90">
        <w:rPr>
          <w:rFonts w:cs="Times New Roman"/>
          <w:color w:val="131413"/>
          <w:highlight w:val="cyan"/>
          <w:lang w:val="en-US"/>
        </w:rPr>
        <w:t>suicidal behavior: none</w:t>
      </w:r>
      <w:r w:rsidRPr="009D5D90">
        <w:rPr>
          <w:rFonts w:cs="Times New Roman"/>
          <w:color w:val="131413"/>
          <w:lang w:val="en-US"/>
        </w:rPr>
        <w:t>,” “</w:t>
      </w:r>
      <w:r w:rsidRPr="009D5D90">
        <w:rPr>
          <w:rFonts w:cs="Times New Roman"/>
          <w:color w:val="131413"/>
          <w:highlight w:val="cyan"/>
          <w:lang w:val="en-US"/>
        </w:rPr>
        <w:t>suicidal behavior:</w:t>
      </w:r>
      <w:r w:rsidRPr="009D5D90">
        <w:rPr>
          <w:rFonts w:cs="Times New Roman" w:hint="eastAsia"/>
          <w:color w:val="131413"/>
          <w:highlight w:val="cyan"/>
          <w:lang w:val="en-US" w:eastAsia="zh-CN"/>
        </w:rPr>
        <w:t xml:space="preserve"> </w:t>
      </w:r>
      <w:r w:rsidRPr="009D5D90">
        <w:rPr>
          <w:rFonts w:cs="Times New Roman"/>
          <w:color w:val="131413"/>
          <w:highlight w:val="cyan"/>
          <w:lang w:val="en-US"/>
        </w:rPr>
        <w:t>none reported</w:t>
      </w:r>
      <w:r w:rsidRPr="009D5D90">
        <w:rPr>
          <w:rFonts w:cs="Times New Roman"/>
          <w:color w:val="131413"/>
          <w:lang w:val="en-US"/>
        </w:rPr>
        <w:t>,” and “</w:t>
      </w:r>
      <w:r w:rsidRPr="009D5D90">
        <w:rPr>
          <w:rFonts w:cs="Times New Roman"/>
          <w:color w:val="131413"/>
          <w:highlight w:val="cyan"/>
          <w:lang w:val="en-US"/>
        </w:rPr>
        <w:t>suicidal behavior: denied</w:t>
      </w:r>
      <w:r w:rsidRPr="009D5D90">
        <w:rPr>
          <w:rFonts w:cs="Times New Roman"/>
          <w:color w:val="131413"/>
          <w:lang w:val="en-US"/>
        </w:rPr>
        <w:t>”)</w:t>
      </w:r>
      <w:r>
        <w:rPr>
          <w:rFonts w:cs="Times New Roman" w:hint="eastAsia"/>
          <w:color w:val="131413"/>
          <w:lang w:val="en-US" w:eastAsia="zh-CN"/>
        </w:rPr>
        <w:t>”</w:t>
      </w:r>
      <w:r>
        <w:rPr>
          <w:rFonts w:cs="Times New Roman"/>
          <w:color w:val="131413"/>
          <w:lang w:val="en-US" w:eastAsia="zh-CN"/>
        </w:rPr>
        <w:fldChar w:fldCharType="begin" w:fldLock="1"/>
      </w:r>
      <w:r w:rsidR="004C6CF4">
        <w:rPr>
          <w:rFonts w:cs="Times New Roman"/>
          <w:color w:val="131413"/>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Pr>
          <w:rFonts w:cs="Times New Roman"/>
          <w:color w:val="131413"/>
          <w:lang w:val="en-US" w:eastAsia="zh-CN"/>
        </w:rPr>
        <w:fldChar w:fldCharType="separate"/>
      </w:r>
      <w:r w:rsidRPr="009D5D90">
        <w:rPr>
          <w:rFonts w:cs="Times New Roman"/>
          <w:noProof/>
          <w:color w:val="131413"/>
          <w:vertAlign w:val="superscript"/>
          <w:lang w:val="en-US" w:eastAsia="zh-CN"/>
        </w:rPr>
        <w:t>20</w:t>
      </w:r>
      <w:r>
        <w:rPr>
          <w:rFonts w:cs="Times New Roman"/>
          <w:color w:val="131413"/>
          <w:lang w:val="en-US" w:eastAsia="zh-CN"/>
        </w:rPr>
        <w:fldChar w:fldCharType="end"/>
      </w:r>
    </w:p>
    <w:p w14:paraId="4F00657C" w14:textId="77777777" w:rsidR="0012746E" w:rsidRPr="00293BFB" w:rsidRDefault="0012746E" w:rsidP="00293BFB">
      <w:pPr>
        <w:rPr>
          <w:rFonts w:eastAsia="Times New Roman" w:cs="Times New Roman"/>
          <w:lang w:val="en-US" w:eastAsia="zh-CN"/>
        </w:rPr>
      </w:pPr>
    </w:p>
    <w:p w14:paraId="6DBC82F9" w14:textId="73F97022" w:rsidR="00293BFB" w:rsidRDefault="00B4592B">
      <w:pPr>
        <w:rPr>
          <w:b/>
          <w:lang w:val="en-US" w:eastAsia="zh-CN"/>
        </w:rPr>
      </w:pPr>
      <w:r>
        <w:rPr>
          <w:b/>
          <w:lang w:val="en-US" w:eastAsia="zh-CN"/>
        </w:rPr>
        <w:lastRenderedPageBreak/>
        <w:br w:type="page"/>
      </w:r>
    </w:p>
    <w:p w14:paraId="62CE5F59" w14:textId="6062F7B0" w:rsidR="00293BFB" w:rsidRDefault="00B4592B" w:rsidP="00B4592B">
      <w:pPr>
        <w:pStyle w:val="Heading1"/>
        <w:rPr>
          <w:lang w:val="en-US" w:eastAsia="zh-CN"/>
        </w:rPr>
      </w:pPr>
      <w:bookmarkStart w:id="8" w:name="_Toc427336640"/>
      <w:r>
        <w:rPr>
          <w:lang w:val="en-US" w:eastAsia="zh-CN"/>
        </w:rPr>
        <w:lastRenderedPageBreak/>
        <w:t xml:space="preserve">Chapter 2 </w:t>
      </w:r>
      <w:r w:rsidR="00D066E6">
        <w:rPr>
          <w:lang w:val="en-US" w:eastAsia="zh-CN"/>
        </w:rPr>
        <w:t>AI</w:t>
      </w:r>
      <w:bookmarkEnd w:id="8"/>
    </w:p>
    <w:p w14:paraId="075946F2" w14:textId="77777777" w:rsidR="00BC1129" w:rsidRDefault="00BC1129">
      <w:pPr>
        <w:rPr>
          <w:lang w:val="en-US" w:eastAsia="zh-CN"/>
        </w:rPr>
      </w:pPr>
    </w:p>
    <w:p w14:paraId="07036EDF" w14:textId="242273D5" w:rsidR="00BC1129" w:rsidRDefault="00BC1129">
      <w:pPr>
        <w:rPr>
          <w:lang w:val="en-US" w:eastAsia="zh-CN"/>
        </w:rPr>
      </w:pPr>
      <w:r>
        <w:rPr>
          <w:lang w:val="en-US" w:eastAsia="zh-CN"/>
        </w:rPr>
        <w:t>AI</w:t>
      </w:r>
      <w:r>
        <w:rPr>
          <w:rFonts w:hint="eastAsia"/>
          <w:lang w:val="en-US" w:eastAsia="zh-CN"/>
        </w:rPr>
        <w:t>是机器学</w:t>
      </w:r>
      <w:r>
        <w:rPr>
          <w:rFonts w:ascii="宋体" w:eastAsia="宋体" w:hAnsi="宋体" w:cs="宋体" w:hint="eastAsia"/>
          <w:lang w:val="en-US" w:eastAsia="zh-CN"/>
        </w:rPr>
        <w:t>习</w:t>
      </w:r>
      <w:r>
        <w:rPr>
          <w:rFonts w:hint="eastAsia"/>
          <w:lang w:val="en-US" w:eastAsia="zh-CN"/>
        </w:rPr>
        <w:t>的一个子</w:t>
      </w:r>
      <w:r>
        <w:rPr>
          <w:rFonts w:ascii="宋体" w:eastAsia="宋体" w:hAnsi="宋体" w:cs="宋体" w:hint="eastAsia"/>
          <w:lang w:val="en-US" w:eastAsia="zh-CN"/>
        </w:rPr>
        <w:t>类，近几年表现优异，在图像识别，语言处理，对话中都有进展</w:t>
      </w:r>
      <w:r>
        <w:rPr>
          <w:rFonts w:hint="eastAsia"/>
          <w:lang w:val="en-US" w:eastAsia="zh-CN"/>
        </w:rPr>
        <w:t>。</w:t>
      </w:r>
    </w:p>
    <w:p w14:paraId="010B563F" w14:textId="2FAC30CC" w:rsidR="00BC1129" w:rsidRDefault="00BC1129">
      <w:pPr>
        <w:rPr>
          <w:rFonts w:ascii="宋体" w:eastAsia="宋体" w:hAnsi="宋体" w:cs="宋体"/>
          <w:lang w:val="en-US" w:eastAsia="zh-CN"/>
        </w:rPr>
      </w:pPr>
      <w:r>
        <w:rPr>
          <w:rFonts w:hint="eastAsia"/>
          <w:lang w:val="en-US" w:eastAsia="zh-CN"/>
        </w:rPr>
        <w:t>ML</w:t>
      </w:r>
      <w:r>
        <w:rPr>
          <w:rFonts w:hint="eastAsia"/>
          <w:lang w:val="en-US" w:eastAsia="zh-CN"/>
        </w:rPr>
        <w:t>从根本要求上，是能</w:t>
      </w:r>
      <w:r>
        <w:rPr>
          <w:rFonts w:ascii="宋体" w:eastAsia="宋体" w:hAnsi="宋体" w:cs="宋体" w:hint="eastAsia"/>
          <w:lang w:val="en-US" w:eastAsia="zh-CN"/>
        </w:rPr>
        <w:t>够</w:t>
      </w:r>
      <w:r>
        <w:rPr>
          <w:rFonts w:hint="eastAsia"/>
          <w:lang w:val="en-US" w:eastAsia="zh-CN"/>
        </w:rPr>
        <w:t>从</w:t>
      </w:r>
      <w:r>
        <w:rPr>
          <w:rFonts w:ascii="宋体" w:eastAsia="宋体" w:hAnsi="宋体" w:cs="宋体" w:hint="eastAsia"/>
          <w:lang w:val="en-US" w:eastAsia="zh-CN"/>
        </w:rPr>
        <w:t>输</w:t>
      </w:r>
      <w:r>
        <w:rPr>
          <w:rFonts w:hint="eastAsia"/>
          <w:lang w:val="en-US" w:eastAsia="zh-CN"/>
        </w:rPr>
        <w:t>入数据，达到所需要的</w:t>
      </w:r>
      <w:r>
        <w:rPr>
          <w:rFonts w:ascii="宋体" w:eastAsia="宋体" w:hAnsi="宋体" w:cs="宋体" w:hint="eastAsia"/>
          <w:lang w:val="en-US" w:eastAsia="zh-CN"/>
        </w:rPr>
        <w:t>输</w:t>
      </w:r>
      <w:r>
        <w:rPr>
          <w:rFonts w:hint="eastAsia"/>
          <w:lang w:val="en-US" w:eastAsia="zh-CN"/>
        </w:rPr>
        <w:t>出</w:t>
      </w:r>
      <w:r>
        <w:rPr>
          <w:rFonts w:ascii="宋体" w:eastAsia="宋体" w:hAnsi="宋体" w:cs="宋体" w:hint="eastAsia"/>
          <w:lang w:val="en-US" w:eastAsia="zh-CN"/>
        </w:rPr>
        <w:t>结</w:t>
      </w:r>
      <w:r>
        <w:rPr>
          <w:rFonts w:hint="eastAsia"/>
          <w:lang w:val="en-US" w:eastAsia="zh-CN"/>
        </w:rPr>
        <w:t>果。</w:t>
      </w:r>
      <w:r>
        <w:rPr>
          <w:lang w:val="en-US" w:eastAsia="zh-CN"/>
        </w:rPr>
        <w:t>D</w:t>
      </w:r>
      <w:r>
        <w:rPr>
          <w:rFonts w:hint="eastAsia"/>
          <w:lang w:val="en-US" w:eastAsia="zh-CN"/>
        </w:rPr>
        <w:t>eep learning</w:t>
      </w:r>
      <w:r>
        <w:rPr>
          <w:rFonts w:ascii="宋体" w:eastAsia="宋体" w:hAnsi="宋体" w:cs="宋体" w:hint="eastAsia"/>
          <w:lang w:val="en-US" w:eastAsia="zh-CN"/>
        </w:rPr>
        <w:t>则</w:t>
      </w:r>
      <w:r>
        <w:rPr>
          <w:rFonts w:hint="eastAsia"/>
          <w:lang w:val="en-US" w:eastAsia="zh-CN"/>
        </w:rPr>
        <w:t>是一种表示学</w:t>
      </w:r>
      <w:r>
        <w:rPr>
          <w:rFonts w:ascii="宋体" w:eastAsia="宋体" w:hAnsi="宋体" w:cs="宋体" w:hint="eastAsia"/>
          <w:lang w:val="en-US" w:eastAsia="zh-CN"/>
        </w:rPr>
        <w:t>习</w:t>
      </w:r>
      <w:r>
        <w:rPr>
          <w:rFonts w:hint="eastAsia"/>
          <w:lang w:val="en-US" w:eastAsia="zh-CN"/>
        </w:rPr>
        <w:t>（</w:t>
      </w:r>
      <w:r>
        <w:rPr>
          <w:rFonts w:hint="eastAsia"/>
          <w:lang w:val="en-US" w:eastAsia="zh-CN"/>
        </w:rPr>
        <w:t>representation learning</w:t>
      </w:r>
      <w:r>
        <w:rPr>
          <w:rFonts w:hint="eastAsia"/>
          <w:lang w:val="en-US" w:eastAsia="zh-CN"/>
        </w:rPr>
        <w:t>），</w:t>
      </w:r>
      <w:r>
        <w:rPr>
          <w:rFonts w:ascii="宋体" w:eastAsia="宋体" w:hAnsi="宋体" w:cs="宋体" w:hint="eastAsia"/>
          <w:lang w:val="en-US" w:eastAsia="zh-CN"/>
        </w:rPr>
        <w:t>并且能够自动设计layer</w:t>
      </w:r>
      <w:r w:rsidR="00384908">
        <w:rPr>
          <w:rFonts w:ascii="宋体" w:eastAsia="宋体" w:hAnsi="宋体" w:cs="宋体" w:hint="eastAsia"/>
          <w:lang w:val="en-US" w:eastAsia="zh-CN"/>
        </w:rPr>
        <w:t>，从raw data一直到最后的分类。</w:t>
      </w:r>
    </w:p>
    <w:p w14:paraId="7BD8D44D" w14:textId="45A2761F" w:rsidR="00384908" w:rsidRDefault="00384908">
      <w:pPr>
        <w:rPr>
          <w:lang w:val="en-US" w:eastAsia="zh-CN"/>
        </w:rPr>
      </w:pPr>
      <w:r>
        <w:rPr>
          <w:rFonts w:ascii="宋体" w:eastAsia="宋体" w:hAnsi="宋体" w:cs="宋体" w:hint="eastAsia"/>
          <w:lang w:val="en-US" w:eastAsia="zh-CN"/>
        </w:rPr>
        <w:t>Reinforcement learning</w:t>
      </w:r>
      <w:r w:rsidR="00DA7A78">
        <w:rPr>
          <w:rFonts w:ascii="宋体" w:eastAsia="宋体" w:hAnsi="宋体" w:cs="宋体" w:hint="eastAsia"/>
          <w:lang w:val="en-US" w:eastAsia="zh-CN"/>
        </w:rPr>
        <w:t xml:space="preserve"> (</w:t>
      </w:r>
      <w:r>
        <w:rPr>
          <w:rFonts w:ascii="宋体" w:eastAsia="宋体" w:hAnsi="宋体" w:cs="宋体" w:hint="eastAsia"/>
          <w:lang w:val="en-US" w:eastAsia="zh-CN"/>
        </w:rPr>
        <w:t>RL</w:t>
      </w:r>
      <w:r w:rsidR="00DA7A78">
        <w:rPr>
          <w:rFonts w:ascii="宋体" w:eastAsia="宋体" w:hAnsi="宋体" w:cs="宋体" w:hint="eastAsia"/>
          <w:lang w:val="en-US" w:eastAsia="zh-CN"/>
        </w:rPr>
        <w:t>)则可以从专家演示从学习</w:t>
      </w:r>
    </w:p>
    <w:p w14:paraId="29C11EA4" w14:textId="77777777" w:rsidR="00BC1129" w:rsidRDefault="00BC1129">
      <w:pPr>
        <w:rPr>
          <w:lang w:val="en-US" w:eastAsia="zh-CN"/>
        </w:rPr>
      </w:pPr>
    </w:p>
    <w:p w14:paraId="373CD8DF" w14:textId="4B99A5A2" w:rsidR="004C6CF4" w:rsidRPr="004C6CF4" w:rsidRDefault="004C6CF4" w:rsidP="004C6CF4">
      <w:pPr>
        <w:pStyle w:val="Heading3"/>
        <w:rPr>
          <w:rFonts w:hint="eastAsia"/>
          <w:lang w:val="en-US" w:eastAsia="zh-CN"/>
        </w:rPr>
      </w:pPr>
      <w:r w:rsidRPr="004C6CF4">
        <w:rPr>
          <w:rFonts w:ascii="宋体" w:eastAsia="宋体" w:hAnsi="宋体" w:cs="宋体" w:hint="eastAsia"/>
          <w:lang w:val="en-US" w:eastAsia="zh-CN"/>
        </w:rPr>
        <w:t>视</w:t>
      </w:r>
      <w:r w:rsidRPr="004C6CF4">
        <w:rPr>
          <w:rFonts w:hint="eastAsia"/>
          <w:lang w:val="en-US" w:eastAsia="zh-CN"/>
        </w:rPr>
        <w:t>网膜</w:t>
      </w:r>
      <w:r w:rsidRPr="004C6CF4">
        <w:rPr>
          <w:rFonts w:ascii="宋体" w:eastAsia="宋体" w:hAnsi="宋体" w:cs="宋体" w:hint="eastAsia"/>
          <w:lang w:val="en-US" w:eastAsia="zh-CN"/>
        </w:rPr>
        <w:t>应</w:t>
      </w:r>
      <w:r w:rsidRPr="004C6CF4">
        <w:rPr>
          <w:rFonts w:hint="eastAsia"/>
          <w:lang w:val="en-US" w:eastAsia="zh-CN"/>
        </w:rPr>
        <w:t>用</w:t>
      </w:r>
    </w:p>
    <w:p w14:paraId="798F5E99" w14:textId="451E0A14" w:rsidR="00103F65" w:rsidRDefault="00B4592B">
      <w:pPr>
        <w:rPr>
          <w:lang w:val="en-US" w:eastAsia="zh-CN"/>
        </w:rPr>
      </w:pPr>
      <w:r>
        <w:rPr>
          <w:lang w:val="en-US" w:eastAsia="zh-CN"/>
        </w:rPr>
        <w:t xml:space="preserve">Nature Medicine 2019 January has an issue for Medicine in Digital Age, </w:t>
      </w:r>
      <w:r>
        <w:rPr>
          <w:rFonts w:hint="eastAsia"/>
          <w:lang w:val="en-US" w:eastAsia="zh-CN"/>
        </w:rPr>
        <w:t>其中包括</w:t>
      </w:r>
      <w:r>
        <w:rPr>
          <w:rFonts w:hint="eastAsia"/>
          <w:lang w:val="en-US" w:eastAsia="zh-CN"/>
        </w:rPr>
        <w:t>Stanford</w:t>
      </w:r>
      <w:r>
        <w:rPr>
          <w:rFonts w:hint="eastAsia"/>
          <w:lang w:val="en-US" w:eastAsia="zh-CN"/>
        </w:rPr>
        <w:t>与</w:t>
      </w:r>
      <w:proofErr w:type="spellStart"/>
      <w:r>
        <w:rPr>
          <w:rFonts w:hint="eastAsia"/>
          <w:lang w:val="en-US" w:eastAsia="zh-CN"/>
        </w:rPr>
        <w:t>google</w:t>
      </w:r>
      <w:proofErr w:type="spellEnd"/>
      <w:r>
        <w:rPr>
          <w:rFonts w:hint="eastAsia"/>
          <w:lang w:val="en-US" w:eastAsia="zh-CN"/>
        </w:rPr>
        <w:t>的</w:t>
      </w:r>
      <w:r>
        <w:rPr>
          <w:rFonts w:hint="eastAsia"/>
          <w:lang w:val="en-US" w:eastAsia="zh-CN"/>
        </w:rPr>
        <w:t xml:space="preserve">Deep learning </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sidR="00103F65">
        <w:rPr>
          <w:rFonts w:hint="eastAsia"/>
          <w:lang w:val="en-US" w:eastAsia="zh-CN"/>
        </w:rPr>
        <w:t>FDA</w:t>
      </w:r>
      <w:r w:rsidR="00103F65">
        <w:rPr>
          <w:rFonts w:hint="eastAsia"/>
          <w:lang w:val="en-US" w:eastAsia="zh-CN"/>
        </w:rPr>
        <w:t>也已</w:t>
      </w:r>
      <w:r w:rsidR="00103F65">
        <w:rPr>
          <w:rFonts w:ascii="宋体" w:eastAsia="宋体" w:hAnsi="宋体" w:cs="宋体" w:hint="eastAsia"/>
          <w:lang w:val="en-US" w:eastAsia="zh-CN"/>
        </w:rPr>
        <w:t>经</w:t>
      </w:r>
      <w:r w:rsidR="00103F65">
        <w:rPr>
          <w:rFonts w:hint="eastAsia"/>
          <w:lang w:val="en-US" w:eastAsia="zh-CN"/>
        </w:rPr>
        <w:t>批准</w:t>
      </w:r>
      <w:r w:rsidR="00103F65">
        <w:rPr>
          <w:rFonts w:ascii="宋体" w:eastAsia="宋体" w:hAnsi="宋体" w:cs="宋体" w:hint="eastAsia"/>
          <w:lang w:val="en-US" w:eastAsia="zh-CN"/>
        </w:rPr>
        <w:t>这</w:t>
      </w:r>
      <w:r w:rsidR="00103F65">
        <w:rPr>
          <w:rFonts w:hint="eastAsia"/>
          <w:lang w:val="en-US" w:eastAsia="zh-CN"/>
        </w:rPr>
        <w:t>个</w:t>
      </w:r>
      <w:r w:rsidR="00103F65">
        <w:rPr>
          <w:rFonts w:ascii="宋体" w:eastAsia="宋体" w:hAnsi="宋体" w:cs="宋体" w:hint="eastAsia"/>
          <w:lang w:val="en-US" w:eastAsia="zh-CN"/>
        </w:rPr>
        <w:t>软</w:t>
      </w:r>
      <w:r w:rsidR="00103F65">
        <w:rPr>
          <w:rFonts w:hint="eastAsia"/>
          <w:lang w:val="en-US" w:eastAsia="zh-CN"/>
        </w:rPr>
        <w:t>件的使用</w:t>
      </w:r>
      <w:r w:rsidR="00103F65">
        <w:rPr>
          <w:lang w:val="en-US" w:eastAsia="zh-CN"/>
        </w:rPr>
        <w:fldChar w:fldCharType="begin" w:fldLock="1"/>
      </w:r>
      <w:r w:rsidR="0012746E">
        <w:rPr>
          <w:lang w:val="en-US" w:eastAsia="zh-CN"/>
        </w:rPr>
        <w:instrText>ADDIN CSL_CITATION {"citationItems":[{"id":"ITEM-1","itemData":{"DOI":"10.1038/s41591-018-0322-1","ISSN":"1546170X","author":[{"dropping-particle":"","family":"Nature Medicine","given":"","non-dropping-particle":"","parse-names":false,"suffix":""}],"container-title":"Nature medicine","id":"ITEM-1","issue":"1","issued":{"date-parts":[["2019"]]},"page":"1","title":"Medicine in the digital age","type":"article-journal","volume":"25"},"uris":["http://www.mendeley.com/documents/?uuid=a4a7fca6-7bc1-4be3-a5ea-38700a2f7ae8"]}],"mendeley":{"formattedCitation":"&lt;sup&gt;22&lt;/sup&gt;","plainTextFormattedCitation":"22","previouslyFormattedCitation":"&lt;sup&gt;22&lt;/sup&gt;"},"properties":{"noteIndex":0},"schema":"https://github.com/citation-style-language/schema/raw/master/csl-citation.json"}</w:instrText>
      </w:r>
      <w:r w:rsidR="00103F65">
        <w:rPr>
          <w:lang w:val="en-US" w:eastAsia="zh-CN"/>
        </w:rPr>
        <w:fldChar w:fldCharType="separate"/>
      </w:r>
      <w:r w:rsidR="0012746E" w:rsidRPr="0012746E">
        <w:rPr>
          <w:noProof/>
          <w:vertAlign w:val="superscript"/>
          <w:lang w:val="en-US" w:eastAsia="zh-CN"/>
        </w:rPr>
        <w:t>22</w:t>
      </w:r>
      <w:r w:rsidR="00103F65">
        <w:rPr>
          <w:lang w:val="en-US" w:eastAsia="zh-CN"/>
        </w:rPr>
        <w:fldChar w:fldCharType="end"/>
      </w:r>
      <w:r w:rsidR="00103F65">
        <w:rPr>
          <w:rFonts w:hint="eastAsia"/>
          <w:lang w:val="en-US" w:eastAsia="zh-CN"/>
        </w:rPr>
        <w:t>。</w:t>
      </w:r>
    </w:p>
    <w:p w14:paraId="2B34FCB1" w14:textId="71A59384" w:rsidR="00B4592B" w:rsidRDefault="00B4592B">
      <w:pPr>
        <w:rPr>
          <w:lang w:val="en-US" w:eastAsia="zh-CN"/>
        </w:rPr>
      </w:pPr>
      <w:r>
        <w:rPr>
          <w:rFonts w:hint="eastAsia"/>
          <w:lang w:val="en-US" w:eastAsia="zh-CN"/>
        </w:rPr>
        <w:t>以及广州中山医科大学与</w:t>
      </w:r>
      <w:r>
        <w:rPr>
          <w:rFonts w:hint="eastAsia"/>
          <w:lang w:val="en-US" w:eastAsia="zh-CN"/>
        </w:rPr>
        <w:t>UCSD</w:t>
      </w:r>
      <w:r>
        <w:rPr>
          <w:rFonts w:hint="eastAsia"/>
          <w:lang w:val="en-US" w:eastAsia="zh-CN"/>
        </w:rPr>
        <w:t>合作的</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{"citationItems":[{"id":"ITEM-1","itemData":{"DOI":"10.1038/s41591-018-0307-0","ISSN":"1546170X","abstract":"The development of artificial intelligence (AI)-based technologies in medicine is advancing rapidly, but real-world clinical implementation has not yet become a reality. Here we review some of the key practical issues surrounding the implementation of AI into existing clinical workflows, including data sharing and privacy, transparency of algorithms, data standardization, and interoperability across multiple platforms, and concern for patient safety. We summarize the current regulatory environment in the United States and highlight comparisons with other regions in the world, notably Europe and China.","author":[{"dropping-particle":"","family":"He","given":"Jianxing","non-dropping-particle":"","parse-names":false,"suffix":""},{"dropping-particle":"","family":"Baxter","given":"Sally L.","non-dropping-particle":"","parse-names":false,"suffix":""},{"dropping-particle":"","family":"Xu","given":"Jie","non-dropping-particle":"","parse-names":false,"suffix":""},{"dropping-particle":"","family":"Xu","given":"Jiming","non-dropping-particle":"","parse-names":false,"suffix":""},{"dropping-particle":"","family":"Zhou","given":"Xingtao","non-dropping-particle":"","parse-names":false,"suffix":""},{"dropping-particle":"","family":"Zhang","given":"Kang","non-dropping-particle":"","parse-names":false,"suffix":""}],"container-title":"Nature Medicine","id":"ITEM-1","issue":"1","issued":{"date-parts":[["2019"]]},"page":"30-36","publisher":"Springer US","title":"The practical implementation of artificial intelligence technologies in medicine","type":"article-journal","volume":"25"},"uris":["http://www.mendeley.com/documents/?uuid=9a3fd5d6-b699-4bb1-b283-39baed08c7df"]}],"mendeley":{"formattedCitation":"&lt;sup&gt;23&lt;/sup&gt;","plainTextFormattedCitation":"23","previouslyFormattedCitation":"&lt;sup&gt;23&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23</w:t>
      </w:r>
      <w:r>
        <w:rPr>
          <w:lang w:val="en-US" w:eastAsia="zh-CN"/>
        </w:rPr>
        <w:fldChar w:fldCharType="end"/>
      </w:r>
      <w:r>
        <w:rPr>
          <w:rFonts w:hint="eastAsia"/>
          <w:lang w:val="en-US" w:eastAsia="zh-CN"/>
        </w:rPr>
        <w:t>。</w:t>
      </w:r>
    </w:p>
    <w:p w14:paraId="049A6C77" w14:textId="0CD1EE43" w:rsidR="00DA7A78" w:rsidRDefault="00DA7A78">
      <w:pPr>
        <w:rPr>
          <w:lang w:val="en-US" w:eastAsia="zh-CN"/>
        </w:rPr>
      </w:pPr>
      <w:r>
        <w:rPr>
          <w:rFonts w:hint="eastAsia"/>
          <w:lang w:val="en-US" w:eastAsia="zh-CN"/>
        </w:rPr>
        <w:t>在“</w:t>
      </w:r>
      <w:r>
        <w:rPr>
          <w:rFonts w:hint="eastAsia"/>
          <w:lang w:val="en-US" w:eastAsia="zh-CN"/>
        </w:rPr>
        <w:t>A guide to deep learning in healthcare</w:t>
      </w:r>
      <w:r>
        <w:rPr>
          <w:lang w:val="en-US" w:eastAsia="zh-CN"/>
        </w:rPr>
        <w:t>”</w:t>
      </w:r>
      <w:r>
        <w:rPr>
          <w:rFonts w:hint="eastAsia"/>
          <w:lang w:val="en-US" w:eastAsia="zh-CN"/>
        </w:rPr>
        <w:t>中</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Pr>
          <w:rFonts w:hint="eastAsia"/>
          <w:lang w:val="en-US" w:eastAsia="zh-CN"/>
        </w:rPr>
        <w:t>Jeff Dean</w:t>
      </w:r>
      <w:r>
        <w:rPr>
          <w:rFonts w:hint="eastAsia"/>
          <w:lang w:val="en-US" w:eastAsia="zh-CN"/>
        </w:rPr>
        <w:t>和成</w:t>
      </w:r>
      <w:r>
        <w:rPr>
          <w:rFonts w:ascii="宋体" w:eastAsia="宋体" w:hAnsi="宋体" w:cs="宋体" w:hint="eastAsia"/>
          <w:lang w:val="en-US" w:eastAsia="zh-CN"/>
        </w:rPr>
        <w:t>员</w:t>
      </w:r>
      <w:r>
        <w:rPr>
          <w:rFonts w:hint="eastAsia"/>
          <w:lang w:val="en-US" w:eastAsia="zh-CN"/>
        </w:rPr>
        <w:t>主要描述了</w:t>
      </w:r>
      <w:r>
        <w:rPr>
          <w:rFonts w:hint="eastAsia"/>
          <w:lang w:val="en-US" w:eastAsia="zh-CN"/>
        </w:rPr>
        <w:t>AI</w:t>
      </w:r>
      <w:r>
        <w:rPr>
          <w:rFonts w:hint="eastAsia"/>
          <w:lang w:val="en-US" w:eastAsia="zh-CN"/>
        </w:rPr>
        <w:t>在医学中，特</w:t>
      </w:r>
      <w:r>
        <w:rPr>
          <w:rFonts w:ascii="宋体" w:eastAsia="宋体" w:hAnsi="宋体" w:cs="宋体" w:hint="eastAsia"/>
          <w:lang w:val="en-US" w:eastAsia="zh-CN"/>
        </w:rPr>
        <w:t>别图</w:t>
      </w:r>
      <w:r>
        <w:rPr>
          <w:rFonts w:hint="eastAsia"/>
          <w:lang w:val="en-US" w:eastAsia="zh-CN"/>
        </w:rPr>
        <w:t>像</w:t>
      </w:r>
      <w:r>
        <w:rPr>
          <w:rFonts w:ascii="宋体" w:eastAsia="宋体" w:hAnsi="宋体" w:cs="宋体" w:hint="eastAsia"/>
          <w:lang w:val="en-US" w:eastAsia="zh-CN"/>
        </w:rPr>
        <w:t>识别</w:t>
      </w:r>
      <w:r>
        <w:rPr>
          <w:rFonts w:hint="eastAsia"/>
          <w:lang w:val="en-US" w:eastAsia="zh-CN"/>
        </w:rPr>
        <w:t>中的一系列</w:t>
      </w:r>
      <w:r>
        <w:rPr>
          <w:rFonts w:ascii="宋体" w:eastAsia="宋体" w:hAnsi="宋体" w:cs="宋体" w:hint="eastAsia"/>
          <w:lang w:val="en-US" w:eastAsia="zh-CN"/>
        </w:rPr>
        <w:t>应</w:t>
      </w:r>
      <w:r>
        <w:rPr>
          <w:rFonts w:hint="eastAsia"/>
          <w:lang w:val="en-US" w:eastAsia="zh-CN"/>
        </w:rPr>
        <w:t>用，其中</w:t>
      </w:r>
      <w:r>
        <w:rPr>
          <w:rFonts w:hint="eastAsia"/>
          <w:lang w:val="en-US" w:eastAsia="zh-CN"/>
        </w:rPr>
        <w:t>convolutional neural networks (CNNs)</w:t>
      </w:r>
    </w:p>
    <w:p w14:paraId="2ACEE240" w14:textId="77777777" w:rsidR="00B4592B" w:rsidRDefault="00B4592B">
      <w:pPr>
        <w:rPr>
          <w:lang w:val="en-US" w:eastAsia="zh-CN"/>
        </w:rPr>
      </w:pPr>
    </w:p>
    <w:p w14:paraId="0F1517C0" w14:textId="77777777" w:rsidR="004C6CF4" w:rsidRDefault="004C6CF4">
      <w:pPr>
        <w:rPr>
          <w:lang w:val="en-US" w:eastAsia="zh-CN"/>
        </w:rPr>
      </w:pPr>
    </w:p>
    <w:p w14:paraId="587822B1" w14:textId="5E475B18" w:rsidR="00AE4831" w:rsidRDefault="00A932C1" w:rsidP="00AE4831">
      <w:pPr>
        <w:rPr>
          <w:rFonts w:eastAsia="Times New Roman"/>
        </w:rPr>
      </w:pPr>
      <w:r>
        <w:rPr>
          <w:rFonts w:hint="eastAsia"/>
          <w:lang w:val="en-US" w:eastAsia="zh-CN"/>
        </w:rPr>
        <w:t>由</w:t>
      </w:r>
      <w:r>
        <w:rPr>
          <w:rFonts w:hint="eastAsia"/>
          <w:lang w:val="en-US" w:eastAsia="zh-CN"/>
        </w:rPr>
        <w:t>USCD</w:t>
      </w:r>
      <w:r>
        <w:rPr>
          <w:rFonts w:ascii="宋体" w:eastAsia="宋体" w:hAnsi="宋体" w:cs="宋体" w:hint="eastAsia"/>
          <w:lang w:val="en-US" w:eastAsia="zh-CN"/>
        </w:rPr>
        <w:t>张</w:t>
      </w:r>
      <w:r>
        <w:rPr>
          <w:rFonts w:hint="eastAsia"/>
          <w:lang w:val="en-US" w:eastAsia="zh-CN"/>
        </w:rPr>
        <w:t>康</w:t>
      </w:r>
      <w:r>
        <w:rPr>
          <w:rFonts w:ascii="宋体" w:eastAsia="宋体" w:hAnsi="宋体" w:cs="宋体" w:hint="eastAsia"/>
          <w:lang w:val="en-US" w:eastAsia="zh-CN"/>
        </w:rPr>
        <w:t>领衔</w:t>
      </w:r>
      <w:r>
        <w:rPr>
          <w:rFonts w:hint="eastAsia"/>
          <w:lang w:val="en-US" w:eastAsia="zh-CN"/>
        </w:rPr>
        <w:t>的</w:t>
      </w:r>
      <w:r>
        <w:rPr>
          <w:rFonts w:ascii="宋体" w:eastAsia="宋体" w:hAnsi="宋体" w:cs="宋体" w:hint="eastAsia"/>
          <w:lang w:val="en-US" w:eastAsia="zh-CN"/>
        </w:rPr>
        <w:t>团队</w:t>
      </w:r>
      <w:r>
        <w:rPr>
          <w:rFonts w:hint="eastAsia"/>
          <w:lang w:val="en-US" w:eastAsia="zh-CN"/>
        </w:rPr>
        <w:t>，运用</w:t>
      </w:r>
      <w:proofErr w:type="spellStart"/>
      <w:r>
        <w:rPr>
          <w:rFonts w:hint="eastAsia"/>
          <w:lang w:val="en-US" w:eastAsia="zh-CN"/>
        </w:rPr>
        <w:t>TensorFlow</w:t>
      </w:r>
      <w:proofErr w:type="spellEnd"/>
      <w:r>
        <w:rPr>
          <w:rFonts w:hint="eastAsia"/>
          <w:lang w:val="en-US" w:eastAsia="zh-CN"/>
        </w:rPr>
        <w:t>技</w:t>
      </w:r>
      <w:r>
        <w:rPr>
          <w:rFonts w:ascii="宋体" w:eastAsia="宋体" w:hAnsi="宋体" w:cs="宋体" w:hint="eastAsia"/>
          <w:lang w:val="en-US" w:eastAsia="zh-CN"/>
        </w:rPr>
        <w:t>术训练</w:t>
      </w:r>
      <w:r>
        <w:rPr>
          <w:rFonts w:hint="eastAsia"/>
          <w:lang w:val="en-US" w:eastAsia="zh-CN"/>
        </w:rPr>
        <w:t>的眼科技</w:t>
      </w:r>
      <w:r>
        <w:rPr>
          <w:rFonts w:ascii="宋体" w:eastAsia="宋体" w:hAnsi="宋体" w:cs="宋体" w:hint="eastAsia"/>
          <w:lang w:val="en-US" w:eastAsia="zh-CN"/>
        </w:rPr>
        <w:t>术</w:t>
      </w:r>
      <w:r>
        <w:rPr>
          <w:rFonts w:hint="eastAsia"/>
          <w:lang w:val="en-US" w:eastAsia="zh-CN"/>
        </w:rPr>
        <w:t>，</w:t>
      </w:r>
      <w:r>
        <w:rPr>
          <w:rFonts w:hint="eastAsia"/>
          <w:lang w:val="en-US" w:eastAsia="zh-CN"/>
        </w:rPr>
        <w:t>2018</w:t>
      </w:r>
      <w:r>
        <w:rPr>
          <w:rFonts w:hint="eastAsia"/>
          <w:lang w:val="en-US" w:eastAsia="zh-CN"/>
        </w:rPr>
        <w:t>年</w:t>
      </w:r>
      <w:r>
        <w:rPr>
          <w:rFonts w:hint="eastAsia"/>
          <w:lang w:val="en-US" w:eastAsia="zh-CN"/>
        </w:rPr>
        <w:t>2</w:t>
      </w:r>
      <w:r>
        <w:rPr>
          <w:rFonts w:hint="eastAsia"/>
          <w:lang w:val="en-US" w:eastAsia="zh-CN"/>
        </w:rPr>
        <w:t>月</w:t>
      </w:r>
      <w:r>
        <w:rPr>
          <w:rFonts w:ascii="宋体" w:eastAsia="宋体" w:hAnsi="宋体" w:cs="宋体" w:hint="eastAsia"/>
          <w:lang w:val="en-US" w:eastAsia="zh-CN"/>
        </w:rPr>
        <w:t>发</w:t>
      </w:r>
      <w:r>
        <w:rPr>
          <w:rFonts w:hint="eastAsia"/>
          <w:lang w:val="en-US" w:eastAsia="zh-CN"/>
        </w:rPr>
        <w:t>表在</w:t>
      </w:r>
      <w:r>
        <w:rPr>
          <w:rFonts w:hint="eastAsia"/>
          <w:lang w:val="en-US" w:eastAsia="zh-CN"/>
        </w:rPr>
        <w:t>cell</w:t>
      </w:r>
      <w:r>
        <w:rPr>
          <w:rFonts w:hint="eastAsia"/>
          <w:lang w:val="en-US" w:eastAsia="zh-CN"/>
        </w:rPr>
        <w:t>上</w:t>
      </w:r>
      <w:r>
        <w:rPr>
          <w:lang w:val="en-US" w:eastAsia="zh-CN"/>
        </w:rPr>
        <w:fldChar w:fldCharType="begin" w:fldLock="1"/>
      </w:r>
      <w:r w:rsidR="0012746E">
        <w:rPr>
          <w:lang w:val="en-US" w:eastAsia="zh-CN"/>
        </w:rPr>
        <w:instrText>ADDIN CSL_CITATION {"citationItems":[{"id":"ITEM-1","itemData":{"DOI":"10.1016/j.cell.2018.02.010","ISSN":"10974172","abstract":"The implementation of clinical-decision support algorithms for medical imaging faces challenges with reliability and interpretability. Here, we establish a diagnostic tool based on a deep-learning framework for the screening of patients with common treatable blinding retinal diseases. Our framework utilizes transfer learning, which trains a neural network with a fraction of the data of conventional approaches. Applying this approach to a dataset of optical coherence tomography images, we demonstrate performance comparable to that of human experts in classifying age-related macular degeneration and diabetic macular edema. We also provide a more transparent and interpretable diagnosis by highlighting the regions recognized by the neural network. We further demonstrate the general applicability of our AI system for diagnosis of pediatric pneumonia using chest X-ray images. This tool may ultimately aid in expediting the diagnosis and referral of these treatable conditions, thereby facilitating earlier treatment, resulting in improved clinical outcomes. Video Abstract: [Figure presented] Image-based deep learning classifies macular degeneration and diabetic retinopathy using retinal optical coherence tomography images and has potential for generalized applications in biomedical image interpretation and medical decision making.","author":[{"dropping-particle":"","family":"Kermany","given":"Daniel S.","non-dropping-particle":"","parse-names":false,"suffix":""},{"dropping-particle":"","family":"Goldbaum","given":"Michael","non-dropping-particle":"","parse-names":false,"suffix":""},{"dropping-particle":"","family":"Cai","given":"Wenjia","non-dropping-particle":"","parse-names":false,"suffix":""},{"dropping-particle":"","family":"Valentim","given":"Carolina C.S.","non-dropping-particle":"","parse-names":false,"suffix":""},{"dropping-particle":"","family":"Liang","given":"Huiying","non-dropping-particle":"","parse-names":false,"suffix":""},{"dropping-particle":"","family":"Baxter","given":"Sally L.","non-dropping-particle":"","parse-names":false,"suffix":""},{"dropping-particle":"","family":"McKeown","given":"Alex","non-dropping-particle":"","parse-names":false,"suffix":""},{"dropping-particle":"","family":"Yang","given":"Ge","non-dropping-particle":"","parse-names":false,"suffix":""},{"dropping-particle":"","family":"Wu","given":"Xiaokang","non-dropping-particle":"","parse-names":false,"suffix":""},{"dropping-particle":"","family":"Yan","given":"Fangbing","non-dropping-particle":"","parse-names":false,"suffix":""},{"dropping-particle":"","family":"Dong","given":"Justin","non-dropping-particle":"","parse-names":false,"suffix":""},{"dropping-particle":"","family":"Prasadha","given":"Made K.","non-dropping-particle":"","parse-names":false,"suffix":""},{"dropping-particle":"","family":"Pei","given":"Jacqueline","non-dropping-particle":"","parse-names":false,"suffix":""},{"dropping-particle":"","family":"Ting","given":"Magdalena","non-dropping-particle":"","parse-names":false,"suffix":""},{"dropping-particle":"","family":"Zhu","given":"Jie","non-dropping-particle":"","parse-names":false,"suffix":""},{"dropping-particle":"","family":"Li","given":"Christina","non-dropping-particle":"","parse-names":false,"suffix":""},{"dropping-particle":"","family":"Hewett","given":"Sierra","non-dropping-particle":"","parse-names":false,"suffix":""},{"dropping-particle":"","family":"Dong","given":"Jason","non-dropping-particle":"","parse-names":false,"suffix":""},{"dropping-particle":"","family":"Ziyar","given":"Ian","non-dropping-particle":"","parse-names":false,"suffix":""},{"dropping-particle":"","family":"Shi","given":"Alexander","non-dropping-particle":"","parse-names":false,"suffix":""},{"dropping-particle":"","family":"Zhang","given":"Runze","non-dropping-particle":"","parse-names":false,"suffix":""},{"dropping-particle":"","family":"Zheng","given":"Lianghong","non-dropping-particle":"","parse-names":false,"suffix":""},{"dropping-particle":"","family":"Hou","given":"Rui","non-dropping-particle":"","parse-names":false,"suffix":""},{"dropping-particle":"","family":"Shi","given":"William","non-dropping-particle":"","parse-names":false,"suffix":""},{"dropping-particle":"","family":"Fu","given":"Xin","non-dropping-particle":"","parse-names":false,"suffix":""},{"dropping-particle":"","family":"Duan","given":"Yaou","non-dropping-particle":"","parse-names":false,"suffix":""},{"dropping-particle":"","family":"Huu","given":"Viet A.N.","non-dropping-particle":"","parse-names":false,"suffix":""},{"dropping-particle":"","family":"Wen","given":"Cindy","non-dropping-particle":"","parse-names":false,"suffix":""},{"dropping-particle":"","family":"Zhang","given":"Edward D.","non-dropping-particle":"","parse-names":false,"suffix":""},{"dropping-particle":"","family":"Zhang","given":"Charlotte L.","non-dropping-particle":"","parse-names":false,"suffix":""},{"dropping-particle":"","family":"Li","given":"Oulan","non-dropping-particle":"","parse-names":false,"suffix":""},{"dropping-particle":"","family":"Wang","given":"Xiaobo","non-dropping-particle":"","parse-names":false,"suffix":""},{"dropping-particle":"","family":"Singer","given":"Michael A.","non-dropping-particle":"","parse-names":false,"suffix":""},{"dropping-particle":"","family":"Sun","given":"Xiaodong","non-dropping-particle":"","parse-names":false,"suffix":""},{"dropping-particle":"","family":"Xu","given":"Jie","non-dropping-particle":"","parse-names":false,"suffix":""},{"dropping-particle":"","family":"Tafreshi","given":"Ali","non-dropping-particle":"","parse-names":false,"suffix":""},{"dropping-particle":"","family":"Lewis","given":"M. Anthony","non-dropping-particle":"","parse-names":false,"suffix":""},{"dropping-particle":"","family":"Xia","given":"Huimin","non-dropping-particle":"","parse-names":false,"suffix":""},{"dropping-particle":"","family":"Zhang","given":"Kang","non-dropping-particle":"","parse-names":false,"suffix":""}],"container-title":"Cell","id":"ITEM-1","issue":"5","issued":{"date-parts":[["2018"]]},"page":"1122-1131.e9","publisher":"Elsevier Inc.","title":"Identifying Medical Diagnoses and Treatable Diseases by Image-Based Deep Learning","type":"article-journal","volume":"172"},"uris":["http://www.mendeley.com/documents/?uuid=ed9f63b1-4716-47ef-8ff1-50a1d67fa7b9"]}],"mendeley":{"formattedCitation":"&lt;sup&gt;24&lt;/sup&gt;","plainTextFormattedCitation":"24","previouslyFormattedCitation":"&lt;sup&gt;24&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24</w:t>
      </w:r>
      <w:r>
        <w:rPr>
          <w:lang w:val="en-US" w:eastAsia="zh-CN"/>
        </w:rPr>
        <w:fldChar w:fldCharType="end"/>
      </w:r>
      <w:r>
        <w:rPr>
          <w:rFonts w:hint="eastAsia"/>
          <w:lang w:val="en-US" w:eastAsia="zh-CN"/>
        </w:rPr>
        <w:t>，目前已</w:t>
      </w:r>
      <w:r>
        <w:rPr>
          <w:rFonts w:ascii="宋体" w:eastAsia="宋体" w:hAnsi="宋体" w:cs="宋体" w:hint="eastAsia"/>
          <w:lang w:val="en-US" w:eastAsia="zh-CN"/>
        </w:rPr>
        <w:t>经</w:t>
      </w:r>
      <w:r>
        <w:rPr>
          <w:rFonts w:hint="eastAsia"/>
          <w:lang w:val="en-US" w:eastAsia="zh-CN"/>
        </w:rPr>
        <w:t>被用于喀什第一人民医院的眼科</w:t>
      </w:r>
      <w:r>
        <w:rPr>
          <w:rFonts w:ascii="宋体" w:eastAsia="宋体" w:hAnsi="宋体" w:cs="宋体" w:hint="eastAsia"/>
          <w:lang w:val="en-US" w:eastAsia="zh-CN"/>
        </w:rPr>
        <w:t>诊</w:t>
      </w:r>
      <w:r>
        <w:rPr>
          <w:rFonts w:hint="eastAsia"/>
          <w:lang w:val="en-US" w:eastAsia="zh-CN"/>
        </w:rPr>
        <w:t>断</w:t>
      </w:r>
      <w:r w:rsidR="00AE4831">
        <w:rPr>
          <w:rFonts w:hint="eastAsia"/>
          <w:lang w:val="en-US" w:eastAsia="zh-CN"/>
        </w:rPr>
        <w:t>[</w:t>
      </w:r>
      <w:hyperlink r:id="rId11" w:history="1">
        <w:r w:rsidR="00AE4831">
          <w:rPr>
            <w:rStyle w:val="Hyperlink"/>
            <w:rFonts w:eastAsia="Times New Roman"/>
          </w:rPr>
          <w:t>http://www.jinciwei.cn/k212206.html</w:t>
        </w:r>
      </w:hyperlink>
    </w:p>
    <w:p w14:paraId="4C4E43DF" w14:textId="0CEAAFA8" w:rsidR="00A932C1" w:rsidRDefault="00AE4831">
      <w:pPr>
        <w:rPr>
          <w:lang w:val="en-US" w:eastAsia="zh-CN"/>
        </w:rPr>
      </w:pPr>
      <w:r>
        <w:rPr>
          <w:rFonts w:hint="eastAsia"/>
          <w:lang w:val="en-US" w:eastAsia="zh-CN"/>
        </w:rPr>
        <w:t>]</w:t>
      </w:r>
      <w:r w:rsidR="00A932C1">
        <w:rPr>
          <w:rFonts w:hint="eastAsia"/>
          <w:lang w:val="en-US" w:eastAsia="zh-CN"/>
        </w:rPr>
        <w:t>，因</w:t>
      </w:r>
      <w:r w:rsidR="00A932C1">
        <w:rPr>
          <w:rFonts w:ascii="宋体" w:eastAsia="宋体" w:hAnsi="宋体" w:cs="宋体" w:hint="eastAsia"/>
          <w:lang w:val="en-US" w:eastAsia="zh-CN"/>
        </w:rPr>
        <w:t>为</w:t>
      </w:r>
      <w:r w:rsidR="00A932C1">
        <w:rPr>
          <w:rFonts w:hint="eastAsia"/>
          <w:lang w:val="en-US" w:eastAsia="zh-CN"/>
        </w:rPr>
        <w:t>此地区眼疾</w:t>
      </w:r>
      <w:r w:rsidR="00A932C1">
        <w:rPr>
          <w:rFonts w:ascii="宋体" w:eastAsia="宋体" w:hAnsi="宋体" w:cs="宋体" w:hint="eastAsia"/>
          <w:lang w:val="en-US" w:eastAsia="zh-CN"/>
        </w:rPr>
        <w:t>发</w:t>
      </w:r>
      <w:r w:rsidR="00A932C1">
        <w:rPr>
          <w:rFonts w:hint="eastAsia"/>
          <w:lang w:val="en-US" w:eastAsia="zh-CN"/>
        </w:rPr>
        <w:t>病比</w:t>
      </w:r>
      <w:r w:rsidR="00A932C1">
        <w:rPr>
          <w:rFonts w:ascii="宋体" w:eastAsia="宋体" w:hAnsi="宋体" w:cs="宋体" w:hint="eastAsia"/>
          <w:lang w:val="en-US" w:eastAsia="zh-CN"/>
        </w:rPr>
        <w:t>较</w:t>
      </w:r>
      <w:r w:rsidR="00A932C1">
        <w:rPr>
          <w:rFonts w:hint="eastAsia"/>
          <w:lang w:val="en-US" w:eastAsia="zh-CN"/>
        </w:rPr>
        <w:t>高，包括</w:t>
      </w:r>
      <w:r w:rsidR="00A932C1">
        <w:rPr>
          <w:rFonts w:hint="eastAsia"/>
          <w:lang w:val="en-US" w:eastAsia="zh-CN"/>
        </w:rPr>
        <w:t>diabetic retinopathy</w:t>
      </w:r>
      <w:r w:rsidR="00A932C1">
        <w:rPr>
          <w:rFonts w:hint="eastAsia"/>
          <w:lang w:val="en-US" w:eastAsia="zh-CN"/>
        </w:rPr>
        <w:t>，</w:t>
      </w:r>
      <w:r w:rsidR="00A932C1">
        <w:rPr>
          <w:rFonts w:hint="eastAsia"/>
          <w:lang w:val="en-US" w:eastAsia="zh-CN"/>
        </w:rPr>
        <w:t>glaucoma</w:t>
      </w:r>
      <w:r w:rsidR="00A932C1">
        <w:rPr>
          <w:rFonts w:hint="eastAsia"/>
          <w:lang w:val="en-US" w:eastAsia="zh-CN"/>
        </w:rPr>
        <w:t>，</w:t>
      </w:r>
      <w:r w:rsidR="00A932C1">
        <w:rPr>
          <w:rFonts w:hint="eastAsia"/>
          <w:lang w:val="en-US" w:eastAsia="zh-CN"/>
        </w:rPr>
        <w:t>retinal vein occlusions</w:t>
      </w:r>
      <w:r w:rsidR="00A932C1">
        <w:rPr>
          <w:rFonts w:hint="eastAsia"/>
          <w:lang w:val="en-US" w:eastAsia="zh-CN"/>
        </w:rPr>
        <w:t>和</w:t>
      </w:r>
      <w:r w:rsidR="00A932C1">
        <w:rPr>
          <w:rFonts w:hint="eastAsia"/>
          <w:lang w:val="en-US" w:eastAsia="zh-CN"/>
        </w:rPr>
        <w:t>age-related macular degeneration</w:t>
      </w:r>
      <w:r>
        <w:rPr>
          <w:rFonts w:hint="eastAsia"/>
          <w:lang w:val="en-US" w:eastAsia="zh-CN"/>
        </w:rPr>
        <w:t xml:space="preserve"> (</w:t>
      </w:r>
      <w:r>
        <w:rPr>
          <w:rFonts w:ascii="宋体" w:eastAsia="宋体" w:hAnsi="宋体" w:cs="宋体" w:hint="eastAsia"/>
          <w:lang w:val="en-US" w:eastAsia="zh-CN"/>
        </w:rPr>
        <w:t>见</w:t>
      </w:r>
      <w:r>
        <w:rPr>
          <w:rFonts w:hint="eastAsia"/>
          <w:lang w:val="en-US" w:eastAsia="zh-CN"/>
        </w:rPr>
        <w:t>其</w:t>
      </w:r>
      <w:r>
        <w:rPr>
          <w:rFonts w:hint="eastAsia"/>
          <w:lang w:val="en-US" w:eastAsia="zh-CN"/>
        </w:rPr>
        <w:t>cell</w:t>
      </w:r>
      <w:r>
        <w:rPr>
          <w:rFonts w:ascii="宋体" w:eastAsia="宋体" w:hAnsi="宋体" w:cs="宋体" w:hint="eastAsia"/>
          <w:lang w:val="en-US" w:eastAsia="zh-CN"/>
        </w:rPr>
        <w:t>论</w:t>
      </w:r>
      <w:r>
        <w:rPr>
          <w:rFonts w:hint="eastAsia"/>
          <w:lang w:val="en-US" w:eastAsia="zh-CN"/>
        </w:rPr>
        <w:t>文</w:t>
      </w:r>
      <w:r>
        <w:rPr>
          <w:rFonts w:hint="eastAsia"/>
          <w:lang w:val="en-US" w:eastAsia="zh-CN"/>
        </w:rPr>
        <w:t>)</w:t>
      </w:r>
      <w:r w:rsidR="00A932C1">
        <w:rPr>
          <w:rFonts w:hint="eastAsia"/>
          <w:lang w:val="en-US" w:eastAsia="zh-CN"/>
        </w:rPr>
        <w:t>。</w:t>
      </w:r>
    </w:p>
    <w:p w14:paraId="03E6E790" w14:textId="77777777" w:rsidR="00A932C1" w:rsidRDefault="00A932C1">
      <w:pPr>
        <w:rPr>
          <w:lang w:val="en-US" w:eastAsia="zh-CN"/>
        </w:rPr>
      </w:pPr>
    </w:p>
    <w:p w14:paraId="443E1B9F" w14:textId="2965841C" w:rsidR="00A932C1" w:rsidRDefault="00A932C1">
      <w:pPr>
        <w:rPr>
          <w:lang w:val="en-US" w:eastAsia="zh-CN"/>
        </w:rPr>
      </w:pPr>
      <w:r>
        <w:rPr>
          <w:rFonts w:hint="eastAsia"/>
          <w:lang w:val="en-US" w:eastAsia="zh-CN"/>
        </w:rPr>
        <w:t>AI</w:t>
      </w:r>
      <w:r>
        <w:rPr>
          <w:rFonts w:hint="eastAsia"/>
          <w:lang w:val="en-US" w:eastAsia="zh-CN"/>
        </w:rPr>
        <w:t>技</w:t>
      </w:r>
      <w:r>
        <w:rPr>
          <w:rFonts w:ascii="宋体" w:eastAsia="宋体" w:hAnsi="宋体" w:cs="宋体" w:hint="eastAsia"/>
          <w:lang w:val="en-US" w:eastAsia="zh-CN"/>
        </w:rPr>
        <w:t>术</w:t>
      </w:r>
      <w:r>
        <w:rPr>
          <w:rFonts w:hint="eastAsia"/>
          <w:lang w:val="en-US" w:eastAsia="zh-CN"/>
        </w:rPr>
        <w:t>目前来看最有可能使用的是</w:t>
      </w:r>
      <w:r w:rsidR="005E2C4B">
        <w:rPr>
          <w:rFonts w:ascii="宋体" w:eastAsia="宋体" w:hAnsi="宋体" w:cs="宋体" w:hint="eastAsia"/>
          <w:lang w:val="en-US" w:eastAsia="zh-CN"/>
        </w:rPr>
        <w:t>图像密集型的医学领域，比如</w:t>
      </w:r>
      <w:r>
        <w:rPr>
          <w:rFonts w:hint="eastAsia"/>
          <w:lang w:val="en-US" w:eastAsia="zh-CN"/>
        </w:rPr>
        <w:t>radiology</w:t>
      </w:r>
      <w:r>
        <w:rPr>
          <w:rFonts w:hint="eastAsia"/>
          <w:lang w:val="en-US" w:eastAsia="zh-CN"/>
        </w:rPr>
        <w:t>，</w:t>
      </w:r>
      <w:r>
        <w:rPr>
          <w:rFonts w:hint="eastAsia"/>
          <w:lang w:val="en-US" w:eastAsia="zh-CN"/>
        </w:rPr>
        <w:t>pathology</w:t>
      </w:r>
      <w:r>
        <w:rPr>
          <w:rFonts w:hint="eastAsia"/>
          <w:lang w:val="en-US" w:eastAsia="zh-CN"/>
        </w:rPr>
        <w:t>，</w:t>
      </w:r>
      <w:proofErr w:type="spellStart"/>
      <w:r>
        <w:rPr>
          <w:rFonts w:hint="eastAsia"/>
          <w:lang w:val="en-US" w:eastAsia="zh-CN"/>
        </w:rPr>
        <w:t>ophahalmology</w:t>
      </w:r>
      <w:proofErr w:type="spellEnd"/>
      <w:r>
        <w:rPr>
          <w:rFonts w:hint="eastAsia"/>
          <w:lang w:val="en-US" w:eastAsia="zh-CN"/>
        </w:rPr>
        <w:t>，和</w:t>
      </w:r>
      <w:r>
        <w:rPr>
          <w:rFonts w:hint="eastAsia"/>
          <w:lang w:val="en-US" w:eastAsia="zh-CN"/>
        </w:rPr>
        <w:t>dermatology</w:t>
      </w:r>
      <w:r w:rsidR="00DC6A15">
        <w:rPr>
          <w:lang w:val="en-US" w:eastAsia="zh-CN"/>
        </w:rPr>
        <w:fldChar w:fldCharType="begin" w:fldLock="1"/>
      </w:r>
      <w:r w:rsidR="0012746E">
        <w:rPr>
          <w:lang w:val="en-US" w:eastAsia="zh-CN"/>
        </w:rPr>
        <w:instrText>ADDIN CSL_CITATION {"citationItems":[{"id":"ITEM-1","itemData":{"DOI":"10.1038/nature21056","ISSN":"14764687","abstract":"Skin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images-two orders of magnitude larger than previous datasets-consisting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8a274823-6228-4654-9734-f12faaec02a9"]}],"mendeley":{"formattedCitation":"&lt;sup&gt;25&lt;/sup&gt;","plainTextFormattedCitation":"25","previouslyFormattedCitation":"&lt;sup&gt;25&lt;/sup&gt;"},"properties":{"noteIndex":0},"schema":"https://github.com/citation-style-language/schema/raw/master/csl-citation.json"}</w:instrText>
      </w:r>
      <w:r w:rsidR="00DC6A15">
        <w:rPr>
          <w:lang w:val="en-US" w:eastAsia="zh-CN"/>
        </w:rPr>
        <w:fldChar w:fldCharType="separate"/>
      </w:r>
      <w:r w:rsidR="0012746E" w:rsidRPr="0012746E">
        <w:rPr>
          <w:noProof/>
          <w:vertAlign w:val="superscript"/>
          <w:lang w:val="en-US" w:eastAsia="zh-CN"/>
        </w:rPr>
        <w:t>25</w:t>
      </w:r>
      <w:r w:rsidR="00DC6A15">
        <w:rPr>
          <w:lang w:val="en-US" w:eastAsia="zh-CN"/>
        </w:rPr>
        <w:fldChar w:fldCharType="end"/>
      </w:r>
      <w:r w:rsidR="00DC6A15">
        <w:rPr>
          <w:lang w:val="en-US" w:eastAsia="zh-CN"/>
        </w:rPr>
        <w:t>[</w:t>
      </w:r>
      <w:r w:rsidR="00DC6A15">
        <w:rPr>
          <w:rFonts w:hint="eastAsia"/>
          <w:lang w:val="en-US" w:eastAsia="zh-CN"/>
        </w:rPr>
        <w:t>注，</w:t>
      </w:r>
      <w:r w:rsidR="00DC6A15">
        <w:rPr>
          <w:rFonts w:ascii="宋体" w:eastAsia="宋体" w:hAnsi="宋体" w:cs="宋体" w:hint="eastAsia"/>
          <w:lang w:val="en-US" w:eastAsia="zh-CN"/>
        </w:rPr>
        <w:t>这</w:t>
      </w:r>
      <w:r w:rsidR="00DC6A15">
        <w:rPr>
          <w:rFonts w:hint="eastAsia"/>
          <w:lang w:val="en-US" w:eastAsia="zh-CN"/>
        </w:rPr>
        <w:t>个例子似乎石瑜提到</w:t>
      </w:r>
      <w:r w:rsidR="00DC6A15">
        <w:rPr>
          <w:rFonts w:ascii="宋体" w:eastAsia="宋体" w:hAnsi="宋体" w:cs="宋体" w:hint="eastAsia"/>
          <w:lang w:val="en-US" w:eastAsia="zh-CN"/>
        </w:rPr>
        <w:t>过</w:t>
      </w:r>
      <w:r w:rsidR="00DC6A15">
        <w:rPr>
          <w:rFonts w:hint="eastAsia"/>
          <w:lang w:val="en-US" w:eastAsia="zh-CN"/>
        </w:rPr>
        <w:t>，有些</w:t>
      </w:r>
      <w:r w:rsidR="00DC6A15">
        <w:rPr>
          <w:rFonts w:ascii="宋体" w:eastAsia="宋体" w:hAnsi="宋体" w:cs="宋体" w:hint="eastAsia"/>
          <w:lang w:val="en-US" w:eastAsia="zh-CN"/>
        </w:rPr>
        <w:t>over-fitting的问题</w:t>
      </w:r>
      <w:r w:rsidR="00DC6A15">
        <w:rPr>
          <w:lang w:val="en-US" w:eastAsia="zh-CN"/>
        </w:rPr>
        <w:t>]</w:t>
      </w:r>
      <w:r>
        <w:rPr>
          <w:rFonts w:hint="eastAsia"/>
          <w:lang w:val="en-US" w:eastAsia="zh-CN"/>
        </w:rPr>
        <w:t>。</w:t>
      </w:r>
      <w:r w:rsidR="005E2C4B">
        <w:rPr>
          <w:rFonts w:ascii="宋体" w:eastAsia="宋体" w:hAnsi="宋体" w:cs="宋体" w:hint="eastAsia"/>
          <w:lang w:val="en-US" w:eastAsia="zh-CN"/>
        </w:rPr>
        <w:t>这</w:t>
      </w:r>
      <w:r w:rsidR="005E2C4B">
        <w:rPr>
          <w:rFonts w:hint="eastAsia"/>
          <w:lang w:val="en-US" w:eastAsia="zh-CN"/>
        </w:rPr>
        <w:t>是因</w:t>
      </w:r>
      <w:r w:rsidR="005E2C4B">
        <w:rPr>
          <w:rFonts w:ascii="宋体" w:eastAsia="宋体" w:hAnsi="宋体" w:cs="宋体" w:hint="eastAsia"/>
          <w:lang w:val="en-US" w:eastAsia="zh-CN"/>
        </w:rPr>
        <w:t>为</w:t>
      </w:r>
      <w:r w:rsidR="005E2C4B">
        <w:rPr>
          <w:rFonts w:hint="eastAsia"/>
          <w:lang w:val="en-US" w:eastAsia="zh-CN"/>
        </w:rPr>
        <w:t>目前</w:t>
      </w:r>
      <w:r w:rsidR="005E2C4B">
        <w:rPr>
          <w:rFonts w:hint="eastAsia"/>
          <w:lang w:val="en-US" w:eastAsia="zh-CN"/>
        </w:rPr>
        <w:t>AI</w:t>
      </w:r>
      <w:r w:rsidR="005E2C4B">
        <w:rPr>
          <w:rFonts w:hint="eastAsia"/>
          <w:lang w:val="en-US" w:eastAsia="zh-CN"/>
        </w:rPr>
        <w:t>在</w:t>
      </w:r>
      <w:r w:rsidR="005E2C4B">
        <w:rPr>
          <w:rFonts w:ascii="宋体" w:eastAsia="宋体" w:hAnsi="宋体" w:cs="宋体" w:hint="eastAsia"/>
          <w:lang w:val="en-US" w:eastAsia="zh-CN"/>
        </w:rPr>
        <w:t>图</w:t>
      </w:r>
      <w:r w:rsidR="005E2C4B">
        <w:rPr>
          <w:rFonts w:hint="eastAsia"/>
          <w:lang w:val="en-US" w:eastAsia="zh-CN"/>
        </w:rPr>
        <w:t>像</w:t>
      </w:r>
      <w:r w:rsidR="005E2C4B">
        <w:rPr>
          <w:rFonts w:ascii="宋体" w:eastAsia="宋体" w:hAnsi="宋体" w:cs="宋体" w:hint="eastAsia"/>
          <w:lang w:val="en-US" w:eastAsia="zh-CN"/>
        </w:rPr>
        <w:t>识别领</w:t>
      </w:r>
      <w:r w:rsidR="005E2C4B">
        <w:rPr>
          <w:rFonts w:hint="eastAsia"/>
          <w:lang w:val="en-US" w:eastAsia="zh-CN"/>
        </w:rPr>
        <w:t>域是做的最好的。</w:t>
      </w:r>
    </w:p>
    <w:p w14:paraId="1DB66A65" w14:textId="77777777" w:rsidR="00A932C1" w:rsidRDefault="00A932C1">
      <w:pPr>
        <w:rPr>
          <w:lang w:val="en-US" w:eastAsia="zh-CN"/>
        </w:rPr>
      </w:pPr>
    </w:p>
    <w:p w14:paraId="2F9020A0" w14:textId="465B6B7C" w:rsidR="004C6CF4" w:rsidRDefault="004C6CF4">
      <w:pPr>
        <w:rPr>
          <w:rFonts w:hint="eastAsia"/>
          <w:lang w:val="en-US" w:eastAsia="zh-CN"/>
        </w:rPr>
      </w:pPr>
      <w:r>
        <w:rPr>
          <w:rFonts w:ascii="宋体" w:eastAsia="宋体" w:hAnsi="宋体" w:cs="宋体" w:hint="eastAsia"/>
          <w:lang w:val="en-US" w:eastAsia="zh-CN"/>
        </w:rPr>
        <w:t>组织</w:t>
      </w:r>
      <w:r>
        <w:rPr>
          <w:rFonts w:hint="eastAsia"/>
          <w:lang w:val="en-US" w:eastAsia="zh-CN"/>
        </w:rPr>
        <w:t>的</w:t>
      </w:r>
      <w:r>
        <w:rPr>
          <w:rFonts w:ascii="宋体" w:eastAsia="宋体" w:hAnsi="宋体" w:cs="宋体" w:hint="eastAsia"/>
          <w:lang w:val="en-US" w:eastAsia="zh-CN"/>
        </w:rPr>
        <w:t>显</w:t>
      </w:r>
      <w:r>
        <w:rPr>
          <w:rFonts w:hint="eastAsia"/>
          <w:lang w:val="en-US" w:eastAsia="zh-CN"/>
        </w:rPr>
        <w:t>微分析</w:t>
      </w:r>
    </w:p>
    <w:p w14:paraId="3C375D66" w14:textId="5B3AE46B" w:rsidR="004C6CF4" w:rsidRDefault="004C6CF4">
      <w:pPr>
        <w:rPr>
          <w:rFonts w:hint="eastAsia"/>
          <w:lang w:val="en-US" w:eastAsia="zh-CN"/>
        </w:rPr>
      </w:pPr>
      <w:r>
        <w:rPr>
          <w:rFonts w:hint="eastAsia"/>
          <w:lang w:val="en-US" w:eastAsia="zh-CN"/>
        </w:rPr>
        <w:t>Google Brain</w:t>
      </w:r>
      <w:r>
        <w:rPr>
          <w:rFonts w:hint="eastAsia"/>
          <w:lang w:val="en-US" w:eastAsia="zh-CN"/>
        </w:rPr>
        <w:t>基于</w:t>
      </w:r>
      <w:r>
        <w:rPr>
          <w:rFonts w:hint="eastAsia"/>
          <w:lang w:val="en-US" w:eastAsia="zh-CN"/>
        </w:rPr>
        <w:t>AI</w:t>
      </w:r>
      <w:r>
        <w:rPr>
          <w:rFonts w:hint="eastAsia"/>
          <w:lang w:val="en-US" w:eastAsia="zh-CN"/>
        </w:rPr>
        <w:t>技</w:t>
      </w:r>
      <w:r>
        <w:rPr>
          <w:rFonts w:ascii="宋体" w:eastAsia="宋体" w:hAnsi="宋体" w:cs="宋体" w:hint="eastAsia"/>
          <w:lang w:val="en-US" w:eastAsia="zh-CN"/>
        </w:rPr>
        <w:t>术实现</w:t>
      </w:r>
      <w:r>
        <w:rPr>
          <w:rFonts w:hint="eastAsia"/>
          <w:lang w:val="en-US" w:eastAsia="zh-CN"/>
        </w:rPr>
        <w:t>了</w:t>
      </w:r>
      <w:r>
        <w:rPr>
          <w:rFonts w:ascii="宋体" w:eastAsia="宋体" w:hAnsi="宋体" w:cs="宋体" w:hint="eastAsia"/>
          <w:lang w:val="en-US" w:eastAsia="zh-CN"/>
        </w:rPr>
        <w:t>组织</w:t>
      </w:r>
      <w:r>
        <w:rPr>
          <w:rFonts w:hint="eastAsia"/>
          <w:lang w:val="en-US" w:eastAsia="zh-CN"/>
        </w:rPr>
        <w:t>的</w:t>
      </w:r>
      <w:r>
        <w:rPr>
          <w:rFonts w:ascii="宋体" w:eastAsia="宋体" w:hAnsi="宋体" w:cs="宋体" w:hint="eastAsia"/>
          <w:lang w:val="en-US" w:eastAsia="zh-CN"/>
        </w:rPr>
        <w:t>显</w:t>
      </w:r>
      <w:r>
        <w:rPr>
          <w:rFonts w:hint="eastAsia"/>
          <w:lang w:val="en-US" w:eastAsia="zh-CN"/>
        </w:rPr>
        <w:t>微分析，</w:t>
      </w:r>
      <w:r>
        <w:rPr>
          <w:rFonts w:hint="eastAsia"/>
          <w:lang w:val="en-US" w:eastAsia="zh-CN"/>
        </w:rPr>
        <w:t>AUC</w:t>
      </w:r>
      <w:r>
        <w:rPr>
          <w:rFonts w:hint="eastAsia"/>
          <w:lang w:val="en-US" w:eastAsia="zh-CN"/>
        </w:rPr>
        <w:t>达到</w:t>
      </w:r>
      <w:r>
        <w:rPr>
          <w:rFonts w:hint="eastAsia"/>
          <w:lang w:val="en-US" w:eastAsia="zh-CN"/>
        </w:rPr>
        <w:t>90%</w:t>
      </w:r>
      <w:r>
        <w:rPr>
          <w:rFonts w:hint="eastAsia"/>
          <w:lang w:val="en-US" w:eastAsia="zh-CN"/>
        </w:rPr>
        <w:t>以上</w:t>
      </w:r>
      <w:r>
        <w:rPr>
          <w:lang w:val="en-US" w:eastAsia="zh-CN"/>
        </w:rPr>
        <w:fldChar w:fldCharType="begin" w:fldLock="1"/>
      </w:r>
      <w:r>
        <w:rPr>
          <w:lang w:val="en-US" w:eastAsia="zh-CN"/>
        </w:rPr>
        <w:instrText>ADDIN CSL_CITATION {"citationItems":[{"id":"ITEM-1","itemData":{"DOI":"10.1038/s41591-019-0539-7","ISBN":"4159101905397","ISSN":"1078-8956","author":[{"dropping-particle":"","family":"Chen","given":"Po-Hsuan Cameron","non-dropping-particle":"","parse-names":false,"suffix":""},{"dropping-particle":"","family":"Gadepalli","given":"Krishna","non-dropping-particle":"","parse-names":false,"suffix":""},{"dropping-particle":"","family":"MacDonald","given":"Robert","non-dropping-particle":"","parse-names":false,"suffix":""},{"dropping-particle":"","family":"Liu","given":"Yun","non-dropping-particle":"","parse-names":false,"suffix":""},{"dropping-particle":"","family":"Kadowaki","given":"Shiro","non-dropping-particle":"","parse-names":false,"suffix":""},{"dropping-particle":"","family":"Nagpal","given":"Kunal","non-dropping-particle":"","parse-names":false,"suffix":""},{"dropping-particle":"","family":"Kohlberger","given":"Timo","non-dropping-particle":"","parse-names":false,"suffix":""},{"dropping-particle":"","family":"Dean","given":"Jeffrey","non-dropping-particle":"","parse-names":false,"suffix":""},{"dropping-particle":"","family":"Corrado","given":"Greg S.","non-dropping-particle":"","parse-names":false,"suffix":""},{"dropping-particle":"","family":"Hipp","given":"Jason D.","non-dropping-particle":"","parse-names":false,"suffix":""},{"dropping-particle":"","family":"Mermel","given":"Craig H.","non-dropping-particle":"","parse-names":false,"suffix":""},{"dropping-particle":"","family":"Stumpe","given":"Martin C.","non-dropping-particle":"","parse-names":false,"suffix":""}],"container-title":"Nature Medicine","id":"ITEM-1","issued":{"date-parts":[["2019"]]},"publisher":"Springer US","title":"An augmented reality microscope with real-time artificial intelligence integration for cancer diagnosis","type":"article-journal"},"uris":["http://www.mendeley.com/documents/?uuid=379ee5ce-a7db-497b-b0a6-6273f9f37fbd"]}],"mendeley":{"formattedCitation":"&lt;sup&gt;26&lt;/sup&gt;","plainTextFormattedCitation":"26"},"properties":{"noteIndex":0},"schema":"https://github.com/citation-style-language/schema/raw/master/csl-citation.json"}</w:instrText>
      </w:r>
      <w:r>
        <w:rPr>
          <w:lang w:val="en-US" w:eastAsia="zh-CN"/>
        </w:rPr>
        <w:fldChar w:fldCharType="separate"/>
      </w:r>
      <w:r w:rsidRPr="004C6CF4">
        <w:rPr>
          <w:noProof/>
          <w:vertAlign w:val="superscript"/>
          <w:lang w:val="en-US" w:eastAsia="zh-CN"/>
        </w:rPr>
        <w:t>26</w:t>
      </w:r>
      <w:r>
        <w:rPr>
          <w:lang w:val="en-US" w:eastAsia="zh-CN"/>
        </w:rPr>
        <w:fldChar w:fldCharType="end"/>
      </w:r>
      <w:bookmarkStart w:id="9" w:name="_GoBack"/>
      <w:bookmarkEnd w:id="9"/>
      <w:r>
        <w:rPr>
          <w:rFonts w:hint="eastAsia"/>
          <w:lang w:val="en-US" w:eastAsia="zh-CN"/>
        </w:rPr>
        <w:t>。</w:t>
      </w:r>
    </w:p>
    <w:p w14:paraId="474076A9" w14:textId="77777777" w:rsidR="004C6CF4" w:rsidRDefault="004C6CF4">
      <w:pPr>
        <w:rPr>
          <w:lang w:val="en-US" w:eastAsia="zh-CN"/>
        </w:rPr>
      </w:pPr>
    </w:p>
    <w:p w14:paraId="6217B242" w14:textId="6EDFB441" w:rsidR="00D066E6" w:rsidRPr="00D735E6" w:rsidRDefault="00D066E6">
      <w:pPr>
        <w:rPr>
          <w:lang w:val="en-US" w:eastAsia="zh-CN"/>
        </w:rPr>
      </w:pPr>
      <w:r w:rsidRPr="00D735E6">
        <w:rPr>
          <w:lang w:val="en-US" w:eastAsia="zh-CN"/>
        </w:rPr>
        <w:t xml:space="preserve">A comment about </w:t>
      </w:r>
      <w:r w:rsidRPr="00D735E6">
        <w:rPr>
          <w:highlight w:val="cyan"/>
          <w:lang w:val="en-US" w:eastAsia="zh-CN"/>
        </w:rPr>
        <w:t>three pitfalls</w:t>
      </w:r>
      <w:r w:rsidRPr="00D735E6">
        <w:rPr>
          <w:lang w:val="en-US" w:eastAsia="zh-CN"/>
        </w:rPr>
        <w:t xml:space="preserve"> to avoid in machine learning</w:t>
      </w:r>
      <w:r w:rsidRPr="00D735E6">
        <w:rPr>
          <w:lang w:val="en-US" w:eastAsia="zh-CN"/>
        </w:rPr>
        <w:fldChar w:fldCharType="begin" w:fldLock="1"/>
      </w:r>
      <w:r w:rsidR="004C6CF4">
        <w:rPr>
          <w:lang w:val="en-US" w:eastAsia="zh-CN"/>
        </w:rPr>
        <w:instrText>ADDIN CSL_CITATION {"citationItems":[{"id":"ITEM-1","itemData":{"DOI":"10.1038/d41586-019-02307-y","ISSN":"0028-0836","author":[{"dropping-particle":"","family":"Riley","given":"Patrick","non-dropping-particle":"","parse-names":false,"suffix":""}],"container-title":"Nature","id":"ITEM-1","issue":"7767","issued":{"date-parts":[["2019"]]},"page":"27-29","title":"Three pitfalls to avoid in machine learning","type":"article-journal","volume":"572"},"uris":["http://www.mendeley.com/documents/?uuid=981ce6e6-cb09-4a83-a77c-2a97d151ab57"]}],"mendeley":{"formattedCitation":"&lt;sup&gt;27&lt;/sup&gt;","plainTextFormattedCitation":"27","previouslyFormattedCitation":"&lt;sup&gt;26&lt;/sup&gt;"},"properties":{"noteIndex":0},"schema":"https://github.com/citation-style-language/schema/raw/master/csl-citation.json"}</w:instrText>
      </w:r>
      <w:r w:rsidRPr="00D735E6">
        <w:rPr>
          <w:lang w:val="en-US" w:eastAsia="zh-CN"/>
        </w:rPr>
        <w:fldChar w:fldCharType="separate"/>
      </w:r>
      <w:r w:rsidR="004C6CF4" w:rsidRPr="004C6CF4">
        <w:rPr>
          <w:noProof/>
          <w:vertAlign w:val="superscript"/>
          <w:lang w:val="en-US" w:eastAsia="zh-CN"/>
        </w:rPr>
        <w:t>27</w:t>
      </w:r>
      <w:r w:rsidRPr="00D735E6">
        <w:rPr>
          <w:lang w:val="en-US" w:eastAsia="zh-CN"/>
        </w:rPr>
        <w:fldChar w:fldCharType="end"/>
      </w:r>
      <w:r w:rsidR="00103F65">
        <w:rPr>
          <w:rFonts w:hint="eastAsia"/>
          <w:lang w:val="en-US" w:eastAsia="zh-CN"/>
        </w:rPr>
        <w:t>。</w:t>
      </w:r>
    </w:p>
    <w:p w14:paraId="63DCA337" w14:textId="77777777" w:rsidR="00B4592B" w:rsidRDefault="00B4592B">
      <w:pPr>
        <w:rPr>
          <w:lang w:val="en-US" w:eastAsia="zh-CN"/>
        </w:rPr>
      </w:pPr>
    </w:p>
    <w:p w14:paraId="57A3C4F4" w14:textId="7F877569" w:rsidR="0008145A" w:rsidRDefault="0008145A">
      <w:pPr>
        <w:rPr>
          <w:lang w:val="en-US" w:eastAsia="zh-CN"/>
        </w:rPr>
      </w:pPr>
      <w:r>
        <w:rPr>
          <w:rFonts w:hint="eastAsia"/>
          <w:lang w:val="en-US" w:eastAsia="zh-CN"/>
        </w:rPr>
        <w:t>Data sharing</w:t>
      </w:r>
    </w:p>
    <w:p w14:paraId="0AB04465" w14:textId="77777777" w:rsidR="0008145A" w:rsidRDefault="0008145A">
      <w:pPr>
        <w:rPr>
          <w:lang w:val="en-US" w:eastAsia="zh-CN"/>
        </w:rPr>
      </w:pPr>
    </w:p>
    <w:p w14:paraId="35D99783" w14:textId="5E3C4319" w:rsidR="0008145A" w:rsidRDefault="0008145A">
      <w:pPr>
        <w:rPr>
          <w:lang w:val="en-US" w:eastAsia="zh-CN"/>
        </w:rPr>
      </w:pPr>
      <w:r>
        <w:rPr>
          <w:lang w:val="en-US" w:eastAsia="zh-CN"/>
        </w:rPr>
        <w:t>Transparency</w:t>
      </w:r>
    </w:p>
    <w:p w14:paraId="77965B5F" w14:textId="4A3A632E" w:rsidR="0008145A" w:rsidRDefault="0008145A">
      <w:pPr>
        <w:rPr>
          <w:lang w:val="en-US" w:eastAsia="zh-CN"/>
        </w:rPr>
      </w:pPr>
      <w:r>
        <w:rPr>
          <w:lang w:val="en-US" w:eastAsia="zh-CN"/>
        </w:rPr>
        <w:t xml:space="preserve">1 </w:t>
      </w:r>
      <w:r>
        <w:rPr>
          <w:rFonts w:ascii="宋体" w:eastAsia="宋体" w:hAnsi="宋体" w:cs="宋体" w:hint="eastAsia"/>
          <w:lang w:val="en-US" w:eastAsia="zh-CN"/>
        </w:rPr>
        <w:t>监</w:t>
      </w:r>
      <w:r>
        <w:rPr>
          <w:rFonts w:hint="eastAsia"/>
          <w:lang w:val="en-US" w:eastAsia="zh-CN"/>
        </w:rPr>
        <w:t>督算法的要求</w:t>
      </w:r>
    </w:p>
    <w:p w14:paraId="6786B4F9" w14:textId="3AC1BFF6" w:rsidR="0008145A" w:rsidRDefault="0008145A" w:rsidP="0008145A">
      <w:pPr>
        <w:rPr>
          <w:rFonts w:eastAsia="Times New Roman"/>
        </w:rPr>
      </w:pPr>
      <w:r>
        <w:rPr>
          <w:rFonts w:eastAsia="Times New Roman" w:hint="eastAsia"/>
          <w:lang w:eastAsia="zh-CN"/>
        </w:rPr>
        <w:t xml:space="preserve">2 </w:t>
      </w:r>
      <w:r>
        <w:rPr>
          <w:rFonts w:ascii="Songti SC Regular" w:eastAsia="Songti SC Regular" w:hAnsi="Songti SC Regular" w:cs="Songti SC Regular" w:hint="eastAsia"/>
          <w:lang w:eastAsia="zh-CN"/>
        </w:rPr>
        <w:t>模型可解释性的要求</w:t>
      </w:r>
      <w:r>
        <w:rPr>
          <w:rFonts w:eastAsia="Times New Roman" w:hint="eastAsia"/>
          <w:lang w:eastAsia="zh-CN"/>
        </w:rPr>
        <w:t xml:space="preserve"> </w:t>
      </w:r>
      <w:hyperlink r:id="rId12" w:history="1">
        <w:r>
          <w:rPr>
            <w:rStyle w:val="Hyperlink"/>
            <w:rFonts w:eastAsia="Times New Roman"/>
          </w:rPr>
          <w:t>https://christophm.github.io/interpretable-ml-book/</w:t>
        </w:r>
      </w:hyperlink>
    </w:p>
    <w:p w14:paraId="679165E8" w14:textId="533C9EC5" w:rsidR="0008145A" w:rsidRDefault="0008145A">
      <w:pPr>
        <w:rPr>
          <w:lang w:val="en-US" w:eastAsia="zh-CN"/>
        </w:rPr>
      </w:pPr>
      <w:r>
        <w:rPr>
          <w:rFonts w:hint="eastAsia"/>
          <w:lang w:val="en-US" w:eastAsia="zh-CN"/>
        </w:rPr>
        <w:t xml:space="preserve">3 </w:t>
      </w:r>
      <w:r>
        <w:rPr>
          <w:rFonts w:hint="eastAsia"/>
          <w:lang w:val="en-US" w:eastAsia="zh-CN"/>
        </w:rPr>
        <w:t>算法的可能偏向性</w:t>
      </w:r>
    </w:p>
    <w:p w14:paraId="4FFF5065" w14:textId="77777777" w:rsidR="0008145A" w:rsidRDefault="0008145A">
      <w:pPr>
        <w:rPr>
          <w:lang w:val="en-US" w:eastAsia="zh-CN"/>
        </w:rPr>
      </w:pPr>
    </w:p>
    <w:p w14:paraId="273C84ED" w14:textId="64E0983F" w:rsidR="0008145A" w:rsidRDefault="0008145A">
      <w:pPr>
        <w:rPr>
          <w:lang w:val="en-US" w:eastAsia="zh-CN"/>
        </w:rPr>
      </w:pPr>
      <w:r>
        <w:rPr>
          <w:rFonts w:hint="eastAsia"/>
          <w:lang w:val="en-US" w:eastAsia="zh-CN"/>
        </w:rPr>
        <w:t>Patient safety</w:t>
      </w:r>
    </w:p>
    <w:p w14:paraId="173D84FA" w14:textId="77777777" w:rsidR="0008145A" w:rsidRDefault="0008145A">
      <w:pPr>
        <w:rPr>
          <w:lang w:val="en-US" w:eastAsia="zh-CN"/>
        </w:rPr>
      </w:pPr>
    </w:p>
    <w:p w14:paraId="2E23275D" w14:textId="77777777" w:rsidR="0008145A" w:rsidRDefault="0008145A">
      <w:pPr>
        <w:rPr>
          <w:lang w:val="en-US" w:eastAsia="zh-CN"/>
        </w:rPr>
      </w:pPr>
    </w:p>
    <w:p w14:paraId="226E5AE3" w14:textId="7EA16B23" w:rsidR="00B4592B" w:rsidRDefault="00B4592B" w:rsidP="00B4592B">
      <w:pPr>
        <w:pStyle w:val="Heading2"/>
        <w:rPr>
          <w:lang w:val="en-US" w:eastAsia="zh-CN"/>
        </w:rPr>
      </w:pPr>
      <w:bookmarkStart w:id="10" w:name="_Toc427336641"/>
      <w:r>
        <w:rPr>
          <w:lang w:val="en-US" w:eastAsia="zh-CN"/>
        </w:rPr>
        <w:t>Google Brain AI</w:t>
      </w:r>
      <w:bookmarkEnd w:id="10"/>
    </w:p>
    <w:p w14:paraId="5D858A1C" w14:textId="6EE13543" w:rsidR="006A7B7A" w:rsidRDefault="006A7B7A">
      <w:pPr>
        <w:rPr>
          <w:lang w:val="en-US" w:eastAsia="zh-CN"/>
        </w:rPr>
      </w:pPr>
      <w:r w:rsidRPr="00D735E6">
        <w:rPr>
          <w:lang w:val="en-US" w:eastAsia="zh-CN"/>
        </w:rPr>
        <w:t>A v</w:t>
      </w:r>
      <w:r w:rsidR="00D735E6" w:rsidRPr="00D735E6">
        <w:rPr>
          <w:lang w:val="en-US" w:eastAsia="zh-CN"/>
        </w:rPr>
        <w:t>ery popular example is Google Brain AI using deep learning</w:t>
      </w:r>
      <w:r w:rsidR="00D735E6" w:rsidRPr="00D735E6">
        <w:rPr>
          <w:lang w:val="en-US" w:eastAsia="zh-CN"/>
        </w:rPr>
        <w:fldChar w:fldCharType="begin" w:fldLock="1"/>
      </w:r>
      <w:r w:rsidR="004C6CF4">
        <w:rPr>
          <w:lang w:val="en-US" w:eastAsia="zh-CN"/>
        </w:rPr>
        <w:instrText>ADDIN CSL_CITATION {"citationItems":[{"id":"ITEM-1","itemData":{"DOI":"10.1038/nature14539","ISBN":"9780521835688","ISSN":"0028-0836","PMID":"10463930","abstract":"Deep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9b9c7f70-471f-489a-a4df-542f52a845c5"]}],"mendeley":{"formattedCitation":"&lt;sup&gt;28&lt;/sup&gt;","plainTextFormattedCitation":"28","previouslyFormattedCitation":"&lt;sup&gt;27&lt;/sup&gt;"},"properties":{"noteIndex":0},"schema":"https://github.com/citation-style-language/schema/raw/master/csl-citation.json"}</w:instrText>
      </w:r>
      <w:r w:rsidR="00D735E6" w:rsidRPr="00D735E6">
        <w:rPr>
          <w:lang w:val="en-US" w:eastAsia="zh-CN"/>
        </w:rPr>
        <w:fldChar w:fldCharType="separate"/>
      </w:r>
      <w:r w:rsidR="004C6CF4" w:rsidRPr="004C6CF4">
        <w:rPr>
          <w:noProof/>
          <w:vertAlign w:val="superscript"/>
          <w:lang w:val="en-US" w:eastAsia="zh-CN"/>
        </w:rPr>
        <w:t>28</w:t>
      </w:r>
      <w:r w:rsidR="00D735E6" w:rsidRPr="00D735E6">
        <w:rPr>
          <w:lang w:val="en-US" w:eastAsia="zh-CN"/>
        </w:rPr>
        <w:fldChar w:fldCharType="end"/>
      </w:r>
      <w:r w:rsidR="00D735E6" w:rsidRPr="00D735E6">
        <w:rPr>
          <w:lang w:val="en-US" w:eastAsia="zh-CN"/>
        </w:rPr>
        <w:t xml:space="preserve"> </w:t>
      </w:r>
      <w:r w:rsidR="00E96F0C">
        <w:rPr>
          <w:rFonts w:hint="eastAsia"/>
          <w:lang w:val="en-US" w:eastAsia="zh-CN"/>
        </w:rPr>
        <w:t>(</w:t>
      </w:r>
      <w:r w:rsidR="00E96F0C" w:rsidRPr="008F1FC9">
        <w:rPr>
          <w:rFonts w:hint="eastAsia"/>
          <w:highlight w:val="yellow"/>
          <w:lang w:val="en-US" w:eastAsia="zh-CN"/>
        </w:rPr>
        <w:t>using two public data</w:t>
      </w:r>
      <w:r w:rsidR="008F1FC9" w:rsidRPr="008F1FC9">
        <w:rPr>
          <w:rFonts w:hint="eastAsia"/>
          <w:highlight w:val="yellow"/>
          <w:lang w:val="en-US" w:eastAsia="zh-CN"/>
        </w:rPr>
        <w:t xml:space="preserve"> EyePAC-1 and Messidor-2</w:t>
      </w:r>
      <w:r w:rsidR="00E96F0C">
        <w:rPr>
          <w:rFonts w:hint="eastAsia"/>
          <w:lang w:val="en-US" w:eastAsia="zh-CN"/>
        </w:rPr>
        <w:t xml:space="preserve">) </w:t>
      </w:r>
      <w:r w:rsidR="00D735E6" w:rsidRPr="00D735E6">
        <w:rPr>
          <w:lang w:val="en-US" w:eastAsia="zh-CN"/>
        </w:rPr>
        <w:t>to screen for diabetic retinopathy</w:t>
      </w:r>
      <w:r w:rsidR="00D735E6" w:rsidRPr="00D735E6">
        <w:rPr>
          <w:lang w:val="en-US" w:eastAsia="zh-CN"/>
        </w:rPr>
        <w:fldChar w:fldCharType="begin" w:fldLock="1"/>
      </w:r>
      <w:r w:rsidR="004C6CF4">
        <w:rPr>
          <w:lang w:val="en-US" w:eastAsia="zh-CN"/>
        </w:rPr>
        <w:instrText>ADDIN CSL_CITATION {"citationItems":[{"id":"ITEM-1","itemData":{"DOI":"10.1001/jama.2016.17216","ISSN":"15383598","abstract":"Importance Deep learning is a family of computational methods that allow an algorithm to program itself by learning from a large set of examples that demonstrate the desired behavior, removing the need to specify rules explicitly. Application of these methods to medical imaging requires further assessment and validation. Objective To apply deep learning to create an algorithm for automated detection of diabetic retinopathy and diabetic macular edema in retinal fundus photographs. Design and Setting A specific type of neural network optimized for image classification called a deep convolutional neural network was trained using a retrospective development data set of 128 175 retinal images, which were graded 3 to 7 times for diabetic retinopathy, diabetic macular edema, and image gradability by a panel of 54 US licensed ophthalmologists and ophthalmology senior residents between May and December 2015. The resultant algorithm was validated in January and February 2016 using 2 separate data sets, both graded by at least 7 US board-certified ophthalmologists with high intragrader consistency. Exposure Deep learning-trained algorithm. Main Outcomes and Measures The sensitivity and specificity of the algorithm for detecting referable diabetic retinopathy (RDR), defined as moderate and worse diabetic retinopathy, referable diabetic macular edema, or both, were generated based on the reference standard of the majority decision of the ophthalmologist panel. The algorithm was evaluated at 2 operating points selected from the development set, one selected for high specificity and another for high sensitivity. Results The EyePACS-1 data set consisted of 9963 images from 4997 patients (mean age, 54.4 years; 62.2% women; prevalence of RDR, 683/8878 fully gradable images [7.8%]); the Messidor-2 data set had 1748 images from 874 patients (mean age, 57.6 years; 42.6% women; prevalence of RDR, 254/1745 fully gradable images [14.6%]). For detecting RDR, the algorithm had an area under the receiver operating curve of 0.991 (95% CI, 0.988-0.993) for EyePACS-1 and 0.990 (95% CI, 0.986-0.995) for Messidor-2. Using the first operating cut point with high specificity, for EyePACS-1, the sensitivity was 90.3% (95% CI, 87.5%-92.7%) and the specificity was 98.1% (95% CI, 97.8%-98.5%). For Messidor-2, the sensitivity was 87.0% (95% CI, 81.1%-91.0%) and the specificity was 98.5% (95% CI, 97.7%-99.1%). Using a second operating point with high sensitivity in the development set, for Ey…","author":[{"dropping-particle":"","family":"Gulshan","given":"Varun","non-dropping-particle":"","parse-names":false,"suffix":""},{"dropping-particle":"","family":"Peng","given":"Lily","non-dropping-particle":"","parse-names":false,"suffix":""},{"dropping-particle":"","family":"Coram","given":"Marc","non-dropping-particle":"","parse-names":false,"suffix":""},{"dropping-particle":"","family":"Stumpe","given":"Martin C.","non-dropping-particle":"","parse-names":false,"suffix":""},{"dropping-particle":"","family":"Wu","given":"Derek","non-dropping-particle":"","parse-names":false,"suffix":""},{"dropping-particle":"","family":"Narayanaswamy","given":"Arunachalam","non-dropping-particle":"","parse-names":false,"suffix":""},{"dropping-particle":"","family":"Venugopalan","given":"Subhashini","non-dropping-particle":"","parse-names":false,"suffix":""},{"dropping-particle":"","family":"Widner","given":"Kasumi","non-dropping-particle":"","parse-names":false,"suffix":""},{"dropping-particle":"","family":"Madams","given":"Tom","non-dropping-particle":"","parse-names":false,"suffix":""},{"dropping-particle":"","family":"Cuadros","given":"Jorge","non-dropping-particle":"","parse-names":false,"suffix":""},{"dropping-particle":"","family":"Kim","given":"Ramasamy","non-dropping-particle":"","parse-names":false,"suffix":""},{"dropping-particle":"","family":"Raman","given":"Rajiv","non-dropping-particle":"","parse-names":false,"suffix":""},{"dropping-particle":"","family":"Nelson","given":"Philip C.","non-dropping-particle":"","parse-names":false,"suffix":""},{"dropping-particle":"","family":"Mega","given":"Jessica L.","non-dropping-particle":"","parse-names":false,"suffix":""},{"dropping-particle":"","family":"Webster","given":"Dale R.","non-dropping-particle":"","parse-names":false,"suffix":""}],"container-title":"JAMA","id":"ITEM-1","issue":"22","issued":{"date-parts":[["2016"]]},"page":"2402-2410","title":"Development and validation of a deep learning algorithm for detection of diabetic retinopathy in retinal fundus photographs","type":"article-journal","volume":"316"},"uris":["http://www.mendeley.com/documents/?uuid=0e55a37a-fad4-4b06-b491-2592d8dc5ea4"]}],"mendeley":{"formattedCitation":"&lt;sup&gt;29&lt;/sup&gt;","plainTextFormattedCitation":"29","previouslyFormattedCitation":"&lt;sup&gt;28&lt;/sup&gt;"},"properties":{"noteIndex":0},"schema":"https://github.com/citation-style-language/schema/raw/master/csl-citation.json"}</w:instrText>
      </w:r>
      <w:r w:rsidR="00D735E6" w:rsidRPr="00D735E6">
        <w:rPr>
          <w:lang w:val="en-US" w:eastAsia="zh-CN"/>
        </w:rPr>
        <w:fldChar w:fldCharType="separate"/>
      </w:r>
      <w:r w:rsidR="004C6CF4" w:rsidRPr="004C6CF4">
        <w:rPr>
          <w:noProof/>
          <w:vertAlign w:val="superscript"/>
          <w:lang w:val="en-US" w:eastAsia="zh-CN"/>
        </w:rPr>
        <w:t>29</w:t>
      </w:r>
      <w:r w:rsidR="00D735E6" w:rsidRPr="00D735E6">
        <w:rPr>
          <w:lang w:val="en-US" w:eastAsia="zh-CN"/>
        </w:rPr>
        <w:fldChar w:fldCharType="end"/>
      </w:r>
      <w:r w:rsidR="00B55BDD">
        <w:rPr>
          <w:lang w:val="en-US" w:eastAsia="zh-CN"/>
        </w:rPr>
        <w:t xml:space="preserve">[India </w:t>
      </w:r>
      <w:proofErr w:type="spellStart"/>
      <w:r w:rsidR="001944F3">
        <w:rPr>
          <w:lang w:val="en-US" w:eastAsia="zh-CN"/>
        </w:rPr>
        <w:t>Ar</w:t>
      </w:r>
      <w:r w:rsidR="00B55BDD">
        <w:rPr>
          <w:lang w:val="en-US" w:eastAsia="zh-CN"/>
        </w:rPr>
        <w:t>avin</w:t>
      </w:r>
      <w:r w:rsidR="001944F3">
        <w:rPr>
          <w:lang w:val="en-US" w:eastAsia="zh-CN"/>
        </w:rPr>
        <w:t>d</w:t>
      </w:r>
      <w:proofErr w:type="spellEnd"/>
      <w:r w:rsidR="001944F3">
        <w:rPr>
          <w:lang w:val="en-US" w:eastAsia="zh-CN"/>
        </w:rPr>
        <w:t xml:space="preserve"> eye hospital, </w:t>
      </w:r>
      <w:proofErr w:type="spellStart"/>
      <w:r w:rsidR="001944F3">
        <w:rPr>
          <w:lang w:val="en-US" w:eastAsia="zh-CN"/>
        </w:rPr>
        <w:t>india</w:t>
      </w:r>
      <w:proofErr w:type="spellEnd"/>
      <w:r w:rsidR="00B55BDD">
        <w:rPr>
          <w:lang w:val="en-US" w:eastAsia="zh-CN"/>
        </w:rPr>
        <w:t>]</w:t>
      </w:r>
      <w:r w:rsidR="007547A7">
        <w:rPr>
          <w:lang w:val="en-US" w:eastAsia="zh-CN"/>
        </w:rPr>
        <w:t xml:space="preserve">, and for </w:t>
      </w:r>
      <w:proofErr w:type="spellStart"/>
      <w:r w:rsidR="007547A7">
        <w:rPr>
          <w:lang w:val="en-US" w:eastAsia="zh-CN"/>
        </w:rPr>
        <w:t>multiethnicities</w:t>
      </w:r>
      <w:proofErr w:type="spellEnd"/>
      <w:r w:rsidR="001944F3">
        <w:rPr>
          <w:lang w:val="en-US" w:eastAsia="zh-CN"/>
        </w:rPr>
        <w:t xml:space="preserve"> populations with diabetes</w:t>
      </w:r>
      <w:r w:rsidR="007547A7">
        <w:rPr>
          <w:lang w:val="en-US" w:eastAsia="zh-CN"/>
        </w:rPr>
        <w:fldChar w:fldCharType="begin" w:fldLock="1"/>
      </w:r>
      <w:r w:rsidR="004C6CF4">
        <w:rPr>
          <w:lang w:val="en-US" w:eastAsia="zh-CN"/>
        </w:rPr>
        <w:instrText>ADDIN CSL_CITATION {"citationItems":[{"id":"ITEM-1","itemData":{"DOI":"10.1001/jama.2017.18152","ISSN":"15383598","abstract":"© 2017 American Medical Association. All rights reserved. IMPORTANCE: A deep learning system (DLS) is a machine learning technology with potential for screening diabetic retinopathy and related eye diseases. OBJECTIVE: To evaluate the performance of a DLS in detecting referable diabetic retinopathy, vision-threatening diabetic retinopathy, possible glaucoma, and age-related macular degeneration (AMD) in community and clinic-based multiethnic populations with diabetes. DESIGN, SETTING, AND PARTICIPANTS: Diagnostic performance of a DLS for diabetic retinopathy and related eye diseases was evaluated using 494 661 retinal images. A DLS was trained for detectingdiabetic retinopathy (using 76 370 images), possible glaucoma (125189 images), and AMD (72 610 images), and performance of DLS was evaluated for detecting diabetic retinopathy (using 112 648 images), possible glaucoma (71896 images), and AMD (35 948 images). Training of the DLS was completed in May 2016, and validation of the DLS was completed in May 2017 for detection of referable diabetic retinopathy (moderate nonproliferative diabetic retinopathy or worse) and vision-threateningdiabetic retinopathy (severe nonproliferative diabetic retinopathy or worse) using a primary validation data set in the Singapore National Diabetic Retinopathy Screening Program and 10 multiethnic cohorts with diabetes. EXPOSURES: Use of a deep learning system. MAIN OUTCOMES AND MEASURES: Area under the receiver operating characteristic curve (AUC) and sensitivity and specificity of the DLS with professional graders (retinal specialists, general ophthalmologists, trained graders, or optometrists) as the reference standard. RESULTS: In the primary validation dataset (n = 14 880 patients; 71 896 images; mean [SD] age, 60.2 [2.2] years; 54.6% men), the prevalence of referable diabetic retinopathy was 3.0%; vision-threatening diabetic retinopathy, 0.6%; possible glaucoma, 0.1%; and AMD 2.5%. The AUC of the DLS for referable diabetic retinopathy was 0.936 (95% CI, 0.925-0.943), sensitivity was 90.5% (95% CI, 873%-93.0%), and specificity was 91.6% (95% CI, 91.0%-92.2%). For vision-threatening diabetic retinopathy, AUC was 0.958 (95% CI, 0.956-0.961), sensitivity was 100% (95% CI, 94.1%-100.0%), and specificity was 91.1% (95% CI, 90.7%-91.4%). For possible glaucoma, AUC was 0.942 (95% CI, 0.929-0.954), sensitivity was 96.4% (95% CI, 81.7%-99.9%), and specificity was 87.2% (95% CI, 86.8%-875%). For AMD AUC was 0.931 (95% CI, 0.928-0…","author":[{"dropping-particle":"","family":"Ting","given":"Daniel Shu Wei","non-dropping-particle":"","parse-names":false,"suffix":""},{"dropping-particle":"","family":"Cheung","given":"Carol Yim Lui","non-dropping-particle":"","parse-names":false,"suffix":""},{"dropping-particle":"","family":"Lim","given":"Gilbert","non-dropping-particle":"","parse-names":false,"suffix":""},{"dropping-particle":"","family":"Tan","given":"Gavin Siew Wei","non-dropping-particle":"","parse-names":false,"suffix":""},{"dropping-particle":"","family":"Quang","given":"Nguyen D.","non-dropping-particle":"","parse-names":false,"suffix":""},{"dropping-particle":"","family":"Gan","given":"Alfred","non-dropping-particle":"","parse-names":false,"suffix":""},{"dropping-particle":"","family":"Hamzah","given":"Haslina","non-dropping-particle":"","parse-names":false,"suffix":""},{"dropping-particle":"","family":"Garcia-Franco","given":"Renata","non-dropping-particle":"","parse-names":false,"suffix":""},{"dropping-particle":"","family":"Yeo","given":"Ian Yew San","non-dropping-particle":"","parse-names":false,"suffix":""},{"dropping-particle":"","family":"Lee","given":"Shu Yen","non-dropping-particle":"","parse-names":false,"suffix":""},{"dropping-particle":"","family":"Wong","given":"Edmund Yick Mun","non-dropping-particle":"","parse-names":false,"suffix":""},{"dropping-particle":"","family":"Sabanayagam","given":"Charumathi","non-dropping-particle":"","parse-names":false,"suffix":""},{"dropping-particle":"","family":"Baskaran","given":"Mani","non-dropping-particle":"","parse-names":false,"suffix":""},{"dropping-particle":"","family":"Ibrahim","given":"Farah","non-dropping-particle":"","parse-names":false,"suffix":""},{"dropping-particle":"","family":"Tan","given":"Ngiap Chuan","non-dropping-particle":"","parse-names":false,"suffix":""},{"dropping-particle":"","family":"Finkelstein","given":"Eric A.","non-dropping-particle":"","parse-names":false,"suffix":""},{"dropping-particle":"","family":"Lamoureux","given":"Ecosse L.","non-dropping-particle":"","parse-names":false,"suffix":""},{"dropping-particle":"","family":"Wong","given":"Ian Y.","non-dropping-particle":"","parse-names":false,"suffix":""},{"dropping-particle":"","family":"Bressler","given":"Neil M.","non-dropping-particle":"","parse-names":false,"suffix":""},{"dropping-particle":"","family":"Sivaprasad","given":"Sobha","non-dropping-particle":"","parse-names":false,"suffix":""},{"dropping-particle":"","family":"Varma","given":"Rohit","non-dropping-particle":"","parse-names":false,"suffix":""},{"dropping-particle":"","family":"Jonas","given":"Jost B.","non-dropping-particle":"","parse-names":false,"suffix":""},{"dropping-particle":"","family":"He","given":"Ming Guang","non-dropping-particle":"","parse-names":false,"suffix":""},{"dropping-particle":"","family":"Cheng","given":"Ching Yu","non-dropping-particle":"","parse-names":false,"suffix":""},{"dropping-particle":"","family":"Cheung","given":"Gemmy Chui Ming","non-dropping-particle":"","parse-names":false,"suffix":""},{"dropping-particle":"","family":"Aung","given":"Tin","non-dropping-particle":"","parse-names":false,"suffix":""},{"dropping-particle":"","family":"Hsu","given":"Wynne","non-dropping-particle":"","parse-names":false,"suffix":""},{"dropping-particle":"","family":"Lee","given":"Mong Li","non-dropping-particle":"","parse-names":false,"suffix":""},{"dropping-particle":"","family":"Wong","given":"Tien Yin","non-dropping-particle":"","parse-names":false,"suffix":""}],"container-title":"JAMA","id":"ITEM-1","issue":"22","issued":{"date-parts":[["2017"]]},"page":"2211-2223","title":"Development and validation of a deep learning system for diabetic retinopathy and related eye diseases using retinal images from multiethnic populations with diabetes","type":"article-journal","volume":"318"},"uris":["http://www.mendeley.com/documents/?uuid=bd1e99b4-76f3-4c23-b4af-da01e800d3cc"]}],"mendeley":{"formattedCitation":"&lt;sup&gt;30&lt;/sup&gt;","plainTextFormattedCitation":"30","previouslyFormattedCitation":"&lt;sup&gt;29&lt;/sup&gt;"},"properties":{"noteIndex":0},"schema":"https://github.com/citation-style-language/schema/raw/master/csl-citation.json"}</w:instrText>
      </w:r>
      <w:r w:rsidR="007547A7">
        <w:rPr>
          <w:lang w:val="en-US" w:eastAsia="zh-CN"/>
        </w:rPr>
        <w:fldChar w:fldCharType="separate"/>
      </w:r>
      <w:r w:rsidR="004C6CF4" w:rsidRPr="004C6CF4">
        <w:rPr>
          <w:noProof/>
          <w:vertAlign w:val="superscript"/>
          <w:lang w:val="en-US" w:eastAsia="zh-CN"/>
        </w:rPr>
        <w:t>30</w:t>
      </w:r>
      <w:r w:rsidR="007547A7">
        <w:rPr>
          <w:lang w:val="en-US" w:eastAsia="zh-CN"/>
        </w:rPr>
        <w:fldChar w:fldCharType="end"/>
      </w:r>
      <w:r w:rsidR="006B50B8">
        <w:rPr>
          <w:lang w:val="en-US" w:eastAsia="zh-CN"/>
        </w:rPr>
        <w:t xml:space="preserve"> (see their table 1 for population setup)</w:t>
      </w:r>
      <w:r w:rsidR="00D735E6" w:rsidRPr="00D735E6">
        <w:rPr>
          <w:lang w:val="en-US" w:eastAsia="zh-CN"/>
        </w:rPr>
        <w:t>.</w:t>
      </w:r>
    </w:p>
    <w:p w14:paraId="3D578F64" w14:textId="48F23600" w:rsidR="00253C94" w:rsidRDefault="00253C94">
      <w:pPr>
        <w:rPr>
          <w:lang w:val="en-US" w:eastAsia="zh-CN"/>
        </w:rPr>
      </w:pPr>
      <w:r>
        <w:rPr>
          <w:lang w:val="en-US" w:eastAsia="zh-CN"/>
        </w:rPr>
        <w:t xml:space="preserve">“the DLS consisted of a convolutional neural network to implicitly recognize </w:t>
      </w:r>
      <w:r w:rsidR="00103F65">
        <w:rPr>
          <w:lang w:val="en-US" w:eastAsia="zh-CN"/>
        </w:rPr>
        <w:t>characteristics</w:t>
      </w:r>
      <w:r>
        <w:rPr>
          <w:lang w:val="en-US" w:eastAsia="zh-CN"/>
        </w:rPr>
        <w:t xml:space="preserve"> of preferable diabetic retinopathy, possible glaucoma, and AMD from the appearance in retinal images.”</w:t>
      </w:r>
    </w:p>
    <w:p w14:paraId="5DF622B2" w14:textId="040C6938" w:rsidR="00253C94" w:rsidRDefault="00253C94">
      <w:pPr>
        <w:rPr>
          <w:lang w:val="en-US" w:eastAsia="zh-CN"/>
        </w:rPr>
      </w:pPr>
      <w:r>
        <w:rPr>
          <w:lang w:val="en-US" w:eastAsia="zh-CN"/>
        </w:rPr>
        <w:t xml:space="preserve">“the primary analysis was to determine if the DLS was equivalent or better than 2 trained senior nonmedical professional </w:t>
      </w:r>
      <w:proofErr w:type="spellStart"/>
      <w:r>
        <w:rPr>
          <w:lang w:val="en-US" w:eastAsia="zh-CN"/>
        </w:rPr>
        <w:t>graers</w:t>
      </w:r>
      <w:proofErr w:type="spellEnd"/>
      <w:r>
        <w:rPr>
          <w:lang w:val="en-US" w:eastAsia="zh-CN"/>
        </w:rPr>
        <w:t xml:space="preserve"> (&gt;5 years’ experience) currently employed in the SIDRP in de</w:t>
      </w:r>
      <w:r w:rsidR="00E96F0C">
        <w:rPr>
          <w:lang w:val="en-US" w:eastAsia="zh-CN"/>
        </w:rPr>
        <w:t>tecting referable diabetic reti</w:t>
      </w:r>
      <w:r w:rsidR="00E96F0C">
        <w:rPr>
          <w:rFonts w:hint="eastAsia"/>
          <w:lang w:val="en-US" w:eastAsia="zh-CN"/>
        </w:rPr>
        <w:t xml:space="preserve">nopathy and vision-threatening diabetic </w:t>
      </w:r>
      <w:r w:rsidR="00E96F0C">
        <w:rPr>
          <w:lang w:val="en-US" w:eastAsia="zh-CN"/>
        </w:rPr>
        <w:t>retinopathy</w:t>
      </w:r>
      <w:r w:rsidR="00E96F0C">
        <w:rPr>
          <w:rFonts w:hint="eastAsia"/>
          <w:lang w:val="en-US" w:eastAsia="zh-CN"/>
        </w:rPr>
        <w:t xml:space="preserve">, with reference to a retinal specialist (&gt;5 years </w:t>
      </w:r>
      <w:r w:rsidR="00E96F0C">
        <w:rPr>
          <w:lang w:val="en-US" w:eastAsia="zh-CN"/>
        </w:rPr>
        <w:t>experience</w:t>
      </w:r>
      <w:r w:rsidR="00E96F0C">
        <w:rPr>
          <w:rFonts w:hint="eastAsia"/>
          <w:lang w:val="en-US" w:eastAsia="zh-CN"/>
        </w:rPr>
        <w:t xml:space="preserve"> in diabetic </w:t>
      </w:r>
      <w:r w:rsidR="00E96F0C">
        <w:rPr>
          <w:lang w:val="en-US" w:eastAsia="zh-CN"/>
        </w:rPr>
        <w:t>retinopathy</w:t>
      </w:r>
      <w:r w:rsidR="00E96F0C">
        <w:rPr>
          <w:rFonts w:hint="eastAsia"/>
          <w:lang w:val="en-US" w:eastAsia="zh-CN"/>
        </w:rPr>
        <w:t xml:space="preserve"> grading).</w:t>
      </w:r>
      <w:r w:rsidR="00E96F0C">
        <w:rPr>
          <w:lang w:val="en-US" w:eastAsia="zh-CN"/>
        </w:rPr>
        <w:t>”</w:t>
      </w:r>
    </w:p>
    <w:p w14:paraId="6D588145" w14:textId="5A194E1B" w:rsidR="006B50B8" w:rsidRDefault="006B50B8">
      <w:pPr>
        <w:rPr>
          <w:lang w:val="en-US" w:eastAsia="zh-CN"/>
        </w:rPr>
      </w:pPr>
      <w:r>
        <w:rPr>
          <w:lang w:val="en-US" w:eastAsia="zh-CN"/>
        </w:rPr>
        <w:t xml:space="preserve">Camera: Topcon, </w:t>
      </w:r>
      <w:proofErr w:type="spellStart"/>
      <w:r>
        <w:rPr>
          <w:lang w:val="en-US" w:eastAsia="zh-CN"/>
        </w:rPr>
        <w:t>FundusVue</w:t>
      </w:r>
      <w:proofErr w:type="spellEnd"/>
      <w:r>
        <w:rPr>
          <w:lang w:val="en-US" w:eastAsia="zh-CN"/>
        </w:rPr>
        <w:t>, Canon, Carl Zeiss</w:t>
      </w:r>
    </w:p>
    <w:p w14:paraId="77643384" w14:textId="77777777" w:rsidR="006B50B8" w:rsidRPr="00D735E6" w:rsidRDefault="006B50B8">
      <w:pPr>
        <w:rPr>
          <w:lang w:val="en-US" w:eastAsia="zh-CN"/>
        </w:rPr>
      </w:pPr>
    </w:p>
    <w:p w14:paraId="7F71CAD6" w14:textId="671EDC98" w:rsidR="00A44DCD" w:rsidRPr="00D735E6" w:rsidRDefault="00A44DCD">
      <w:pPr>
        <w:rPr>
          <w:lang w:val="en-US" w:eastAsia="zh-CN"/>
        </w:rPr>
      </w:pPr>
      <w:r w:rsidRPr="00D735E6">
        <w:rPr>
          <w:lang w:val="en-US" w:eastAsia="zh-CN"/>
        </w:rPr>
        <w:t>Tank problem (</w:t>
      </w:r>
      <w:proofErr w:type="spellStart"/>
      <w:r w:rsidRPr="00D735E6">
        <w:rPr>
          <w:lang w:val="en-US" w:eastAsia="zh-CN"/>
        </w:rPr>
        <w:t>Kadanl</w:t>
      </w:r>
      <w:proofErr w:type="spellEnd"/>
      <w:r w:rsidRPr="00D735E6">
        <w:rPr>
          <w:lang w:val="en-US" w:eastAsia="zh-CN"/>
        </w:rPr>
        <w:t>, LN &amp; Randall, NC, 1964, 19</w:t>
      </w:r>
      <w:r w:rsidRPr="00D735E6">
        <w:rPr>
          <w:vertAlign w:val="superscript"/>
          <w:lang w:val="en-US" w:eastAsia="zh-CN"/>
        </w:rPr>
        <w:t>th</w:t>
      </w:r>
      <w:r w:rsidRPr="00D735E6">
        <w:rPr>
          <w:lang w:val="en-US" w:eastAsia="zh-CN"/>
        </w:rPr>
        <w:t xml:space="preserve"> ACM National </w:t>
      </w:r>
      <w:proofErr w:type="spellStart"/>
      <w:r w:rsidRPr="00D735E6">
        <w:rPr>
          <w:lang w:val="en-US" w:eastAsia="zh-CN"/>
        </w:rPr>
        <w:t>Conf</w:t>
      </w:r>
      <w:proofErr w:type="spellEnd"/>
      <w:r w:rsidR="00D735E6" w:rsidRPr="00D735E6">
        <w:rPr>
          <w:lang w:val="en-US" w:eastAsia="zh-CN"/>
        </w:rPr>
        <w:t>)</w:t>
      </w:r>
    </w:p>
    <w:p w14:paraId="28CEB91C" w14:textId="1DA02537" w:rsidR="00D735E6" w:rsidRDefault="00D735E6">
      <w:pPr>
        <w:rPr>
          <w:lang w:val="en-US" w:eastAsia="zh-CN"/>
        </w:rPr>
      </w:pPr>
      <w:r>
        <w:rPr>
          <w:lang w:val="en-US" w:eastAsia="zh-CN"/>
        </w:rPr>
        <w:t>Common problems with AI</w:t>
      </w:r>
    </w:p>
    <w:p w14:paraId="615702EA" w14:textId="23C071BE" w:rsidR="00D066E6" w:rsidRPr="00A44DCD" w:rsidRDefault="00D735E6">
      <w:pPr>
        <w:rPr>
          <w:lang w:val="en-US" w:eastAsia="zh-CN"/>
        </w:rPr>
      </w:pPr>
      <w:r>
        <w:rPr>
          <w:lang w:val="en-US" w:eastAsia="zh-CN"/>
        </w:rPr>
        <w:t xml:space="preserve">1 </w:t>
      </w:r>
      <w:r w:rsidR="00A44DCD" w:rsidRPr="00A44DCD">
        <w:rPr>
          <w:lang w:val="en-US" w:eastAsia="zh-CN"/>
        </w:rPr>
        <w:t>Splitting data inappropriately: the received data is different from the real world</w:t>
      </w:r>
    </w:p>
    <w:p w14:paraId="07F792CE" w14:textId="6F1833D1" w:rsidR="00A44DCD" w:rsidRPr="00A44DCD" w:rsidRDefault="00D735E6">
      <w:pPr>
        <w:rPr>
          <w:lang w:val="en-US" w:eastAsia="zh-CN"/>
        </w:rPr>
      </w:pPr>
      <w:r>
        <w:rPr>
          <w:lang w:val="en-US" w:eastAsia="zh-CN"/>
        </w:rPr>
        <w:t xml:space="preserve">2 </w:t>
      </w:r>
      <w:r w:rsidR="00A44DCD" w:rsidRPr="00A44DCD">
        <w:rPr>
          <w:lang w:val="en-US" w:eastAsia="zh-CN"/>
        </w:rPr>
        <w:t>Hidden variable</w:t>
      </w:r>
      <w:r>
        <w:rPr>
          <w:lang w:val="en-US" w:eastAsia="zh-CN"/>
        </w:rPr>
        <w:t xml:space="preserve"> (tank is detected because of clouds there)</w:t>
      </w:r>
    </w:p>
    <w:p w14:paraId="63DB49A4" w14:textId="19197941" w:rsidR="00D066E6" w:rsidRDefault="00D735E6">
      <w:pPr>
        <w:rPr>
          <w:b/>
          <w:lang w:val="en-US" w:eastAsia="zh-CN"/>
        </w:rPr>
      </w:pPr>
      <w:r>
        <w:rPr>
          <w:lang w:val="en-US" w:eastAsia="zh-CN"/>
        </w:rPr>
        <w:t xml:space="preserve">3 </w:t>
      </w:r>
      <w:r w:rsidR="00A44DCD" w:rsidRPr="00A44DCD">
        <w:rPr>
          <w:lang w:val="en-US" w:eastAsia="zh-CN"/>
        </w:rPr>
        <w:t>Mistaking the objective</w:t>
      </w:r>
      <w:r>
        <w:rPr>
          <w:lang w:val="en-US" w:eastAsia="zh-CN"/>
        </w:rPr>
        <w:t xml:space="preserve"> (loss function is nonsense)</w:t>
      </w:r>
    </w:p>
    <w:p w14:paraId="10FA7E0E" w14:textId="77777777" w:rsidR="00A44DCD" w:rsidRDefault="00A44DCD">
      <w:pPr>
        <w:rPr>
          <w:b/>
          <w:lang w:val="en-US" w:eastAsia="zh-CN"/>
        </w:rPr>
      </w:pPr>
    </w:p>
    <w:p w14:paraId="08F3E5F1" w14:textId="0FC8F105" w:rsidR="006E1DC9" w:rsidRDefault="006E1DC9">
      <w:pPr>
        <w:rPr>
          <w:b/>
          <w:lang w:val="en-US" w:eastAsia="zh-CN"/>
        </w:rPr>
      </w:pPr>
      <w:r>
        <w:rPr>
          <w:b/>
          <w:lang w:val="en-US" w:eastAsia="zh-CN"/>
        </w:rPr>
        <w:t>Reference</w:t>
      </w:r>
    </w:p>
    <w:p w14:paraId="0F70DF14" w14:textId="64129F1C" w:rsidR="004C6CF4" w:rsidRPr="004C6CF4" w:rsidRDefault="00B14A3C" w:rsidP="004C6CF4">
      <w:pPr>
        <w:widowControl w:val="0"/>
        <w:autoSpaceDE w:val="0"/>
        <w:autoSpaceDN w:val="0"/>
        <w:adjustRightInd w:val="0"/>
        <w:ind w:left="640" w:hanging="64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4C6CF4" w:rsidRPr="004C6CF4">
        <w:rPr>
          <w:rFonts w:cs="Times New Roman"/>
          <w:noProof/>
        </w:rPr>
        <w:t>1.</w:t>
      </w:r>
      <w:r w:rsidR="004C6CF4" w:rsidRPr="004C6CF4">
        <w:rPr>
          <w:rFonts w:cs="Times New Roman"/>
          <w:noProof/>
        </w:rPr>
        <w:tab/>
        <w:t xml:space="preserve">Gottesman, O. </w:t>
      </w:r>
      <w:r w:rsidR="004C6CF4" w:rsidRPr="004C6CF4">
        <w:rPr>
          <w:rFonts w:cs="Times New Roman"/>
          <w:i/>
          <w:iCs/>
          <w:noProof/>
        </w:rPr>
        <w:t>et al.</w:t>
      </w:r>
      <w:r w:rsidR="004C6CF4" w:rsidRPr="004C6CF4">
        <w:rPr>
          <w:rFonts w:cs="Times New Roman"/>
          <w:noProof/>
        </w:rPr>
        <w:t xml:space="preserve"> The Electronic Medical Records and Genomics (eMERGE) Network: past, present, and future. </w:t>
      </w:r>
      <w:r w:rsidR="004C6CF4" w:rsidRPr="004C6CF4">
        <w:rPr>
          <w:rFonts w:cs="Times New Roman"/>
          <w:i/>
          <w:iCs/>
          <w:noProof/>
        </w:rPr>
        <w:t>Genet. Med.</w:t>
      </w:r>
      <w:r w:rsidR="004C6CF4" w:rsidRPr="004C6CF4">
        <w:rPr>
          <w:rFonts w:cs="Times New Roman"/>
          <w:noProof/>
        </w:rPr>
        <w:t xml:space="preserve"> </w:t>
      </w:r>
      <w:r w:rsidR="004C6CF4" w:rsidRPr="004C6CF4">
        <w:rPr>
          <w:rFonts w:cs="Times New Roman"/>
          <w:b/>
          <w:bCs/>
          <w:noProof/>
        </w:rPr>
        <w:t>15</w:t>
      </w:r>
      <w:r w:rsidR="004C6CF4" w:rsidRPr="004C6CF4">
        <w:rPr>
          <w:rFonts w:cs="Times New Roman"/>
          <w:noProof/>
        </w:rPr>
        <w:t>, 761–71 (2013).</w:t>
      </w:r>
    </w:p>
    <w:p w14:paraId="782ABD9B"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w:t>
      </w:r>
      <w:r w:rsidRPr="004C6CF4">
        <w:rPr>
          <w:rFonts w:cs="Times New Roman"/>
          <w:noProof/>
        </w:rPr>
        <w:tab/>
        <w:t xml:space="preserve">Denny, J. C. </w:t>
      </w:r>
      <w:r w:rsidRPr="004C6CF4">
        <w:rPr>
          <w:rFonts w:cs="Times New Roman"/>
          <w:i/>
          <w:iCs/>
          <w:noProof/>
        </w:rPr>
        <w:t>et al.</w:t>
      </w:r>
      <w:r w:rsidRPr="004C6CF4">
        <w:rPr>
          <w:rFonts w:cs="Times New Roman"/>
          <w:noProof/>
        </w:rPr>
        <w:t xml:space="preserve"> PheWAS: Demonstrating the feasibility of a phenome-wide scan to discover gene-disease associations. </w:t>
      </w:r>
      <w:r w:rsidRPr="004C6CF4">
        <w:rPr>
          <w:rFonts w:cs="Times New Roman"/>
          <w:i/>
          <w:iCs/>
          <w:noProof/>
        </w:rPr>
        <w:t>Bioinformatics</w:t>
      </w:r>
      <w:r w:rsidRPr="004C6CF4">
        <w:rPr>
          <w:rFonts w:cs="Times New Roman"/>
          <w:noProof/>
        </w:rPr>
        <w:t xml:space="preserve"> </w:t>
      </w:r>
      <w:r w:rsidRPr="004C6CF4">
        <w:rPr>
          <w:rFonts w:cs="Times New Roman"/>
          <w:b/>
          <w:bCs/>
          <w:noProof/>
        </w:rPr>
        <w:t>26</w:t>
      </w:r>
      <w:r w:rsidRPr="004C6CF4">
        <w:rPr>
          <w:rFonts w:cs="Times New Roman"/>
          <w:noProof/>
        </w:rPr>
        <w:t>, 1205–1210 (2010).</w:t>
      </w:r>
    </w:p>
    <w:p w14:paraId="1AB8DE1E"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3.</w:t>
      </w:r>
      <w:r w:rsidRPr="004C6CF4">
        <w:rPr>
          <w:rFonts w:cs="Times New Roman"/>
          <w:noProof/>
        </w:rPr>
        <w:tab/>
        <w:t xml:space="preserve">Fullerton, S. M. </w:t>
      </w:r>
      <w:r w:rsidRPr="004C6CF4">
        <w:rPr>
          <w:rFonts w:cs="Times New Roman"/>
          <w:i/>
          <w:iCs/>
          <w:noProof/>
        </w:rPr>
        <w:t>et al.</w:t>
      </w:r>
      <w:r w:rsidRPr="004C6CF4">
        <w:rPr>
          <w:rFonts w:cs="Times New Roman"/>
          <w:noProof/>
        </w:rPr>
        <w:t xml:space="preserve"> Return of individual research results from genome-wide association studies: Experience of the Electronic Medical Records and Genomics (eMERGE) Network. </w:t>
      </w:r>
      <w:r w:rsidRPr="004C6CF4">
        <w:rPr>
          <w:rFonts w:cs="Times New Roman"/>
          <w:i/>
          <w:iCs/>
          <w:noProof/>
        </w:rPr>
        <w:t>Genet. Med.</w:t>
      </w:r>
      <w:r w:rsidRPr="004C6CF4">
        <w:rPr>
          <w:rFonts w:cs="Times New Roman"/>
          <w:noProof/>
        </w:rPr>
        <w:t xml:space="preserve"> </w:t>
      </w:r>
      <w:r w:rsidRPr="004C6CF4">
        <w:rPr>
          <w:rFonts w:cs="Times New Roman"/>
          <w:b/>
          <w:bCs/>
          <w:noProof/>
        </w:rPr>
        <w:t>14</w:t>
      </w:r>
      <w:r w:rsidRPr="004C6CF4">
        <w:rPr>
          <w:rFonts w:cs="Times New Roman"/>
          <w:noProof/>
        </w:rPr>
        <w:t>, 424–431 (2012).</w:t>
      </w:r>
    </w:p>
    <w:p w14:paraId="412DF3A6"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4.</w:t>
      </w:r>
      <w:r w:rsidRPr="004C6CF4">
        <w:rPr>
          <w:rFonts w:cs="Times New Roman"/>
          <w:noProof/>
        </w:rPr>
        <w:tab/>
        <w:t xml:space="preserve">Semler, M. W. </w:t>
      </w:r>
      <w:r w:rsidRPr="004C6CF4">
        <w:rPr>
          <w:rFonts w:cs="Times New Roman"/>
          <w:i/>
          <w:iCs/>
          <w:noProof/>
        </w:rPr>
        <w:t>et al.</w:t>
      </w:r>
      <w:r w:rsidRPr="004C6CF4">
        <w:rPr>
          <w:rFonts w:cs="Times New Roman"/>
          <w:noProof/>
        </w:rPr>
        <w:t xml:space="preserve"> Balanced crystalloids versus saline in the intensive care unit: The SALT randomized trial. </w:t>
      </w:r>
      <w:r w:rsidRPr="004C6CF4">
        <w:rPr>
          <w:rFonts w:cs="Times New Roman"/>
          <w:i/>
          <w:iCs/>
          <w:noProof/>
        </w:rPr>
        <w:t>Am. J. Respir. Crit. Care Med.</w:t>
      </w:r>
      <w:r w:rsidRPr="004C6CF4">
        <w:rPr>
          <w:rFonts w:cs="Times New Roman"/>
          <w:noProof/>
        </w:rPr>
        <w:t xml:space="preserve"> </w:t>
      </w:r>
      <w:r w:rsidRPr="004C6CF4">
        <w:rPr>
          <w:rFonts w:cs="Times New Roman"/>
          <w:b/>
          <w:bCs/>
          <w:noProof/>
        </w:rPr>
        <w:t>195</w:t>
      </w:r>
      <w:r w:rsidRPr="004C6CF4">
        <w:rPr>
          <w:rFonts w:cs="Times New Roman"/>
          <w:noProof/>
        </w:rPr>
        <w:t>, 1362–1372 (2017).</w:t>
      </w:r>
    </w:p>
    <w:p w14:paraId="1AE8FD7A"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5.</w:t>
      </w:r>
      <w:r w:rsidRPr="004C6CF4">
        <w:rPr>
          <w:rFonts w:cs="Times New Roman"/>
          <w:noProof/>
        </w:rPr>
        <w:tab/>
        <w:t xml:space="preserve">Semler, M. W. </w:t>
      </w:r>
      <w:r w:rsidRPr="004C6CF4">
        <w:rPr>
          <w:rFonts w:cs="Times New Roman"/>
          <w:i/>
          <w:iCs/>
          <w:noProof/>
        </w:rPr>
        <w:t>et al.</w:t>
      </w:r>
      <w:r w:rsidRPr="004C6CF4">
        <w:rPr>
          <w:rFonts w:cs="Times New Roman"/>
          <w:noProof/>
        </w:rPr>
        <w:t xml:space="preserve"> Balanced Crystalloids versus Saline in Critically Ill Adults. </w:t>
      </w:r>
      <w:r w:rsidRPr="004C6CF4">
        <w:rPr>
          <w:rFonts w:cs="Times New Roman"/>
          <w:i/>
          <w:iCs/>
          <w:noProof/>
        </w:rPr>
        <w:t>N. Engl. J. Med.</w:t>
      </w:r>
      <w:r w:rsidRPr="004C6CF4">
        <w:rPr>
          <w:rFonts w:cs="Times New Roman"/>
          <w:noProof/>
        </w:rPr>
        <w:t xml:space="preserve"> </w:t>
      </w:r>
      <w:r w:rsidRPr="004C6CF4">
        <w:rPr>
          <w:rFonts w:cs="Times New Roman"/>
          <w:b/>
          <w:bCs/>
          <w:noProof/>
        </w:rPr>
        <w:t>378</w:t>
      </w:r>
      <w:r w:rsidRPr="004C6CF4">
        <w:rPr>
          <w:rFonts w:cs="Times New Roman"/>
          <w:noProof/>
        </w:rPr>
        <w:t>, 819–828 (2018).</w:t>
      </w:r>
    </w:p>
    <w:p w14:paraId="7750E072"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6.</w:t>
      </w:r>
      <w:r w:rsidRPr="004C6CF4">
        <w:rPr>
          <w:rFonts w:cs="Times New Roman"/>
          <w:noProof/>
        </w:rPr>
        <w:tab/>
        <w:t xml:space="preserve">Semler, M. W. </w:t>
      </w:r>
      <w:r w:rsidRPr="004C6CF4">
        <w:rPr>
          <w:rFonts w:cs="Times New Roman"/>
          <w:i/>
          <w:iCs/>
          <w:noProof/>
        </w:rPr>
        <w:t>et al.</w:t>
      </w:r>
      <w:r w:rsidRPr="004C6CF4">
        <w:rPr>
          <w:rFonts w:cs="Times New Roman"/>
          <w:noProof/>
        </w:rPr>
        <w:t xml:space="preserve"> Balanced crystalloids versus saline in the intensive care unit: Study protocol for a cluster-randomized, multiple-crossover trial. </w:t>
      </w:r>
      <w:r w:rsidRPr="004C6CF4">
        <w:rPr>
          <w:rFonts w:cs="Times New Roman"/>
          <w:i/>
          <w:iCs/>
          <w:noProof/>
        </w:rPr>
        <w:t>Trials</w:t>
      </w:r>
      <w:r w:rsidRPr="004C6CF4">
        <w:rPr>
          <w:rFonts w:cs="Times New Roman"/>
          <w:noProof/>
        </w:rPr>
        <w:t xml:space="preserve"> </w:t>
      </w:r>
      <w:r w:rsidRPr="004C6CF4">
        <w:rPr>
          <w:rFonts w:cs="Times New Roman"/>
          <w:b/>
          <w:bCs/>
          <w:noProof/>
        </w:rPr>
        <w:t>18</w:t>
      </w:r>
      <w:r w:rsidRPr="004C6CF4">
        <w:rPr>
          <w:rFonts w:cs="Times New Roman"/>
          <w:noProof/>
        </w:rPr>
        <w:t>, 129 (2017).</w:t>
      </w:r>
    </w:p>
    <w:p w14:paraId="74BF7F47"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7.</w:t>
      </w:r>
      <w:r w:rsidRPr="004C6CF4">
        <w:rPr>
          <w:rFonts w:cs="Times New Roman"/>
          <w:noProof/>
        </w:rPr>
        <w:tab/>
        <w:t xml:space="preserve">Young, P. </w:t>
      </w:r>
      <w:r w:rsidRPr="004C6CF4">
        <w:rPr>
          <w:rFonts w:cs="Times New Roman"/>
          <w:i/>
          <w:iCs/>
          <w:noProof/>
        </w:rPr>
        <w:t>et al.</w:t>
      </w:r>
      <w:r w:rsidRPr="004C6CF4">
        <w:rPr>
          <w:rFonts w:cs="Times New Roman"/>
          <w:noProof/>
        </w:rPr>
        <w:t xml:space="preserve"> Effect of a buffered crystalloid solution vs saline on acute kidney injury among patients in the intensive care unit: The SPLIT randomized clinical trial. </w:t>
      </w:r>
      <w:r w:rsidRPr="004C6CF4">
        <w:rPr>
          <w:rFonts w:cs="Times New Roman"/>
          <w:i/>
          <w:iCs/>
          <w:noProof/>
        </w:rPr>
        <w:t>JAMA</w:t>
      </w:r>
      <w:r w:rsidRPr="004C6CF4">
        <w:rPr>
          <w:rFonts w:cs="Times New Roman"/>
          <w:noProof/>
        </w:rPr>
        <w:t xml:space="preserve"> </w:t>
      </w:r>
      <w:r w:rsidRPr="004C6CF4">
        <w:rPr>
          <w:rFonts w:cs="Times New Roman"/>
          <w:b/>
          <w:bCs/>
          <w:noProof/>
        </w:rPr>
        <w:t>314</w:t>
      </w:r>
      <w:r w:rsidRPr="004C6CF4">
        <w:rPr>
          <w:rFonts w:cs="Times New Roman"/>
          <w:noProof/>
        </w:rPr>
        <w:t>, 1701–1710 (2015).</w:t>
      </w:r>
    </w:p>
    <w:p w14:paraId="7182CF62"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8.</w:t>
      </w:r>
      <w:r w:rsidRPr="004C6CF4">
        <w:rPr>
          <w:rFonts w:cs="Times New Roman"/>
          <w:noProof/>
        </w:rPr>
        <w:tab/>
        <w:t xml:space="preserve">Self, W. H. </w:t>
      </w:r>
      <w:r w:rsidRPr="004C6CF4">
        <w:rPr>
          <w:rFonts w:cs="Times New Roman"/>
          <w:i/>
          <w:iCs/>
          <w:noProof/>
        </w:rPr>
        <w:t>et al.</w:t>
      </w:r>
      <w:r w:rsidRPr="004C6CF4">
        <w:rPr>
          <w:rFonts w:cs="Times New Roman"/>
          <w:noProof/>
        </w:rPr>
        <w:t xml:space="preserve"> Balanced Crystalloids versus Saline in Noncritically Ill Adults. </w:t>
      </w:r>
      <w:r w:rsidRPr="004C6CF4">
        <w:rPr>
          <w:rFonts w:cs="Times New Roman"/>
          <w:i/>
          <w:iCs/>
          <w:noProof/>
        </w:rPr>
        <w:t>N. Engl. J. Med.</w:t>
      </w:r>
      <w:r w:rsidRPr="004C6CF4">
        <w:rPr>
          <w:rFonts w:cs="Times New Roman"/>
          <w:noProof/>
        </w:rPr>
        <w:t xml:space="preserve"> </w:t>
      </w:r>
      <w:r w:rsidRPr="004C6CF4">
        <w:rPr>
          <w:rFonts w:cs="Times New Roman"/>
          <w:b/>
          <w:bCs/>
          <w:noProof/>
        </w:rPr>
        <w:t>378</w:t>
      </w:r>
      <w:r w:rsidRPr="004C6CF4">
        <w:rPr>
          <w:rFonts w:cs="Times New Roman"/>
          <w:noProof/>
        </w:rPr>
        <w:t>, 819–28 (2018).</w:t>
      </w:r>
    </w:p>
    <w:p w14:paraId="425AE7E6"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9.</w:t>
      </w:r>
      <w:r w:rsidRPr="004C6CF4">
        <w:rPr>
          <w:rFonts w:cs="Times New Roman"/>
          <w:noProof/>
        </w:rPr>
        <w:tab/>
        <w:t xml:space="preserve">Carey, D. J. </w:t>
      </w:r>
      <w:r w:rsidRPr="004C6CF4">
        <w:rPr>
          <w:rFonts w:cs="Times New Roman"/>
          <w:i/>
          <w:iCs/>
          <w:noProof/>
        </w:rPr>
        <w:t>et al.</w:t>
      </w:r>
      <w:r w:rsidRPr="004C6CF4">
        <w:rPr>
          <w:rFonts w:cs="Times New Roman"/>
          <w:noProof/>
        </w:rPr>
        <w:t xml:space="preserve"> The Geisinger MyCode community health initiative: An electronic health record-linked biobank for precision medicine research. </w:t>
      </w:r>
      <w:r w:rsidRPr="004C6CF4">
        <w:rPr>
          <w:rFonts w:cs="Times New Roman"/>
          <w:i/>
          <w:iCs/>
          <w:noProof/>
        </w:rPr>
        <w:t>Genet. Med.</w:t>
      </w:r>
      <w:r w:rsidRPr="004C6CF4">
        <w:rPr>
          <w:rFonts w:cs="Times New Roman"/>
          <w:noProof/>
        </w:rPr>
        <w:t xml:space="preserve"> </w:t>
      </w:r>
      <w:r w:rsidRPr="004C6CF4">
        <w:rPr>
          <w:rFonts w:cs="Times New Roman"/>
          <w:b/>
          <w:bCs/>
          <w:noProof/>
        </w:rPr>
        <w:t>18</w:t>
      </w:r>
      <w:r w:rsidRPr="004C6CF4">
        <w:rPr>
          <w:rFonts w:cs="Times New Roman"/>
          <w:noProof/>
        </w:rPr>
        <w:t>, 906–913 (2016).</w:t>
      </w:r>
    </w:p>
    <w:p w14:paraId="347F41CA"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10.</w:t>
      </w:r>
      <w:r w:rsidRPr="004C6CF4">
        <w:rPr>
          <w:rFonts w:cs="Times New Roman"/>
          <w:noProof/>
        </w:rPr>
        <w:tab/>
        <w:t xml:space="preserve">The TG and HDL Working Group of the Exome Sequencing Project. Loss-of-Function Mutations in APOC3, Triglycerides, and Coronary Disease. </w:t>
      </w:r>
      <w:r w:rsidRPr="004C6CF4">
        <w:rPr>
          <w:rFonts w:cs="Times New Roman"/>
          <w:i/>
          <w:iCs/>
          <w:noProof/>
        </w:rPr>
        <w:t>N. Engl. J. Med.</w:t>
      </w:r>
      <w:r w:rsidRPr="004C6CF4">
        <w:rPr>
          <w:rFonts w:cs="Times New Roman"/>
          <w:noProof/>
        </w:rPr>
        <w:t xml:space="preserve"> </w:t>
      </w:r>
      <w:r w:rsidRPr="004C6CF4">
        <w:rPr>
          <w:rFonts w:cs="Times New Roman"/>
          <w:b/>
          <w:bCs/>
          <w:noProof/>
        </w:rPr>
        <w:t>371</w:t>
      </w:r>
      <w:r w:rsidRPr="004C6CF4">
        <w:rPr>
          <w:rFonts w:cs="Times New Roman"/>
          <w:noProof/>
        </w:rPr>
        <w:t>, 22–31 (2014).</w:t>
      </w:r>
    </w:p>
    <w:p w14:paraId="110BB70E"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11.</w:t>
      </w:r>
      <w:r w:rsidRPr="004C6CF4">
        <w:rPr>
          <w:rFonts w:cs="Times New Roman"/>
          <w:noProof/>
        </w:rPr>
        <w:tab/>
        <w:t xml:space="preserve">Kvale, M. N. </w:t>
      </w:r>
      <w:r w:rsidRPr="004C6CF4">
        <w:rPr>
          <w:rFonts w:cs="Times New Roman"/>
          <w:i/>
          <w:iCs/>
          <w:noProof/>
        </w:rPr>
        <w:t>et al.</w:t>
      </w:r>
      <w:r w:rsidRPr="004C6CF4">
        <w:rPr>
          <w:rFonts w:cs="Times New Roman"/>
          <w:noProof/>
        </w:rPr>
        <w:t xml:space="preserve"> Genotyping Informatics and Quality Control for 100,000 Subjects in the Genetic Epidemiology Research on Adult Health and Aging (GERA) Cohort. </w:t>
      </w:r>
      <w:r w:rsidRPr="004C6CF4">
        <w:rPr>
          <w:rFonts w:cs="Times New Roman"/>
          <w:i/>
          <w:iCs/>
          <w:noProof/>
        </w:rPr>
        <w:t>Genetics</w:t>
      </w:r>
      <w:r w:rsidRPr="004C6CF4">
        <w:rPr>
          <w:rFonts w:cs="Times New Roman"/>
          <w:noProof/>
        </w:rPr>
        <w:t xml:space="preserve"> </w:t>
      </w:r>
      <w:r w:rsidRPr="004C6CF4">
        <w:rPr>
          <w:rFonts w:cs="Times New Roman"/>
          <w:b/>
          <w:bCs/>
          <w:noProof/>
        </w:rPr>
        <w:t>200</w:t>
      </w:r>
      <w:r w:rsidRPr="004C6CF4">
        <w:rPr>
          <w:rFonts w:cs="Times New Roman"/>
          <w:noProof/>
        </w:rPr>
        <w:t>, 1051–1060 (2015).</w:t>
      </w:r>
    </w:p>
    <w:p w14:paraId="097A514E"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12.</w:t>
      </w:r>
      <w:r w:rsidRPr="004C6CF4">
        <w:rPr>
          <w:rFonts w:cs="Times New Roman"/>
          <w:noProof/>
        </w:rPr>
        <w:tab/>
        <w:t xml:space="preserve">Hoffmann, T. J. </w:t>
      </w:r>
      <w:r w:rsidRPr="004C6CF4">
        <w:rPr>
          <w:rFonts w:cs="Times New Roman"/>
          <w:i/>
          <w:iCs/>
          <w:noProof/>
        </w:rPr>
        <w:t>et al.</w:t>
      </w:r>
      <w:r w:rsidRPr="004C6CF4">
        <w:rPr>
          <w:rFonts w:cs="Times New Roman"/>
          <w:noProof/>
        </w:rPr>
        <w:t xml:space="preserve"> Next generation genome-wide association tool: Design and coverage of a high-throughput European-optimized SNP array. </w:t>
      </w:r>
      <w:r w:rsidRPr="004C6CF4">
        <w:rPr>
          <w:rFonts w:cs="Times New Roman"/>
          <w:i/>
          <w:iCs/>
          <w:noProof/>
        </w:rPr>
        <w:t>Genomics</w:t>
      </w:r>
      <w:r w:rsidRPr="004C6CF4">
        <w:rPr>
          <w:rFonts w:cs="Times New Roman"/>
          <w:noProof/>
        </w:rPr>
        <w:t xml:space="preserve"> </w:t>
      </w:r>
      <w:r w:rsidRPr="004C6CF4">
        <w:rPr>
          <w:rFonts w:cs="Times New Roman"/>
          <w:b/>
          <w:bCs/>
          <w:noProof/>
        </w:rPr>
        <w:t>98</w:t>
      </w:r>
      <w:r w:rsidRPr="004C6CF4">
        <w:rPr>
          <w:rFonts w:cs="Times New Roman"/>
          <w:noProof/>
        </w:rPr>
        <w:t>, 79–89 (2011).</w:t>
      </w:r>
    </w:p>
    <w:p w14:paraId="348DE02C"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13.</w:t>
      </w:r>
      <w:r w:rsidRPr="004C6CF4">
        <w:rPr>
          <w:rFonts w:cs="Times New Roman"/>
          <w:noProof/>
        </w:rPr>
        <w:tab/>
        <w:t xml:space="preserve">Hoffmann, T. J. </w:t>
      </w:r>
      <w:r w:rsidRPr="004C6CF4">
        <w:rPr>
          <w:rFonts w:cs="Times New Roman"/>
          <w:i/>
          <w:iCs/>
          <w:noProof/>
        </w:rPr>
        <w:t>et al.</w:t>
      </w:r>
      <w:r w:rsidRPr="004C6CF4">
        <w:rPr>
          <w:rFonts w:cs="Times New Roman"/>
          <w:noProof/>
        </w:rPr>
        <w:t xml:space="preserve"> Design and coverage of high throughput genotyping arrays optimized for individuals of East Asian, African American, and Latino race/ethnicity using imputation and a novel hybrid SNP selection algorithm. </w:t>
      </w:r>
      <w:r w:rsidRPr="004C6CF4">
        <w:rPr>
          <w:rFonts w:cs="Times New Roman"/>
          <w:i/>
          <w:iCs/>
          <w:noProof/>
        </w:rPr>
        <w:t>Genomics</w:t>
      </w:r>
      <w:r w:rsidRPr="004C6CF4">
        <w:rPr>
          <w:rFonts w:cs="Times New Roman"/>
          <w:noProof/>
        </w:rPr>
        <w:t xml:space="preserve"> </w:t>
      </w:r>
      <w:r w:rsidRPr="004C6CF4">
        <w:rPr>
          <w:rFonts w:cs="Times New Roman"/>
          <w:b/>
          <w:bCs/>
          <w:noProof/>
        </w:rPr>
        <w:t>98</w:t>
      </w:r>
      <w:r w:rsidRPr="004C6CF4">
        <w:rPr>
          <w:rFonts w:cs="Times New Roman"/>
          <w:noProof/>
        </w:rPr>
        <w:t>, 422–430 (2011).</w:t>
      </w:r>
    </w:p>
    <w:p w14:paraId="41DDD2B9"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14.</w:t>
      </w:r>
      <w:r w:rsidRPr="004C6CF4">
        <w:rPr>
          <w:rFonts w:cs="Times New Roman"/>
          <w:noProof/>
        </w:rPr>
        <w:tab/>
        <w:t xml:space="preserve">Banda, Y. </w:t>
      </w:r>
      <w:r w:rsidRPr="004C6CF4">
        <w:rPr>
          <w:rFonts w:cs="Times New Roman"/>
          <w:i/>
          <w:iCs/>
          <w:noProof/>
        </w:rPr>
        <w:t>et al.</w:t>
      </w:r>
      <w:r w:rsidRPr="004C6CF4">
        <w:rPr>
          <w:rFonts w:cs="Times New Roman"/>
          <w:noProof/>
        </w:rPr>
        <w:t xml:space="preserve"> Characterizing Race/Ethnicity and Genetic Ancestry for 100,000 Subjects in the Genetic Epidemiology Research on Adult Health and Aging (GERA) Cohort. </w:t>
      </w:r>
      <w:r w:rsidRPr="004C6CF4">
        <w:rPr>
          <w:rFonts w:cs="Times New Roman"/>
          <w:i/>
          <w:iCs/>
          <w:noProof/>
        </w:rPr>
        <w:t>Genetics</w:t>
      </w:r>
      <w:r w:rsidRPr="004C6CF4">
        <w:rPr>
          <w:rFonts w:cs="Times New Roman"/>
          <w:noProof/>
        </w:rPr>
        <w:t xml:space="preserve"> </w:t>
      </w:r>
      <w:r w:rsidRPr="004C6CF4">
        <w:rPr>
          <w:rFonts w:cs="Times New Roman"/>
          <w:b/>
          <w:bCs/>
          <w:noProof/>
        </w:rPr>
        <w:t>200</w:t>
      </w:r>
      <w:r w:rsidRPr="004C6CF4">
        <w:rPr>
          <w:rFonts w:cs="Times New Roman"/>
          <w:noProof/>
        </w:rPr>
        <w:t>, 1285–1295 (2015).</w:t>
      </w:r>
    </w:p>
    <w:p w14:paraId="75E9DBC5"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lastRenderedPageBreak/>
        <w:t>15.</w:t>
      </w:r>
      <w:r w:rsidRPr="004C6CF4">
        <w:rPr>
          <w:rFonts w:cs="Times New Roman"/>
          <w:noProof/>
        </w:rPr>
        <w:tab/>
        <w:t xml:space="preserve">Lapham, K. </w:t>
      </w:r>
      <w:r w:rsidRPr="004C6CF4">
        <w:rPr>
          <w:rFonts w:cs="Times New Roman"/>
          <w:i/>
          <w:iCs/>
          <w:noProof/>
        </w:rPr>
        <w:t>et al.</w:t>
      </w:r>
      <w:r w:rsidRPr="004C6CF4">
        <w:rPr>
          <w:rFonts w:cs="Times New Roman"/>
          <w:noProof/>
        </w:rPr>
        <w:t xml:space="preserve"> Automated Assay of Telomere Length Measurement and Informatics for 100,000 Subjects in the Genetic Epidemiology Research on Adult Health and Aging (GERA) Cohort. </w:t>
      </w:r>
      <w:r w:rsidRPr="004C6CF4">
        <w:rPr>
          <w:rFonts w:cs="Times New Roman"/>
          <w:i/>
          <w:iCs/>
          <w:noProof/>
        </w:rPr>
        <w:t>Genetics</w:t>
      </w:r>
      <w:r w:rsidRPr="004C6CF4">
        <w:rPr>
          <w:rFonts w:cs="Times New Roman"/>
          <w:noProof/>
        </w:rPr>
        <w:t xml:space="preserve"> </w:t>
      </w:r>
      <w:r w:rsidRPr="004C6CF4">
        <w:rPr>
          <w:rFonts w:cs="Times New Roman"/>
          <w:b/>
          <w:bCs/>
          <w:noProof/>
        </w:rPr>
        <w:t>200</w:t>
      </w:r>
      <w:r w:rsidRPr="004C6CF4">
        <w:rPr>
          <w:rFonts w:cs="Times New Roman"/>
          <w:noProof/>
        </w:rPr>
        <w:t>, 1061–1072 (2015).</w:t>
      </w:r>
    </w:p>
    <w:p w14:paraId="27A1093B"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16.</w:t>
      </w:r>
      <w:r w:rsidRPr="004C6CF4">
        <w:rPr>
          <w:rFonts w:cs="Times New Roman"/>
          <w:noProof/>
        </w:rPr>
        <w:tab/>
        <w:t xml:space="preserve">Horvath, S. DNA methylation age of human tissues and cell types. </w:t>
      </w:r>
      <w:r w:rsidRPr="004C6CF4">
        <w:rPr>
          <w:rFonts w:cs="Times New Roman"/>
          <w:i/>
          <w:iCs/>
          <w:noProof/>
        </w:rPr>
        <w:t>Genome Biol.</w:t>
      </w:r>
      <w:r w:rsidRPr="004C6CF4">
        <w:rPr>
          <w:rFonts w:cs="Times New Roman"/>
          <w:noProof/>
        </w:rPr>
        <w:t xml:space="preserve"> </w:t>
      </w:r>
      <w:r w:rsidRPr="004C6CF4">
        <w:rPr>
          <w:rFonts w:cs="Times New Roman"/>
          <w:b/>
          <w:bCs/>
          <w:noProof/>
        </w:rPr>
        <w:t>14</w:t>
      </w:r>
      <w:r w:rsidRPr="004C6CF4">
        <w:rPr>
          <w:rFonts w:cs="Times New Roman"/>
          <w:noProof/>
        </w:rPr>
        <w:t>, R115 (2013).</w:t>
      </w:r>
    </w:p>
    <w:p w14:paraId="67EBEF3A"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17.</w:t>
      </w:r>
      <w:r w:rsidRPr="004C6CF4">
        <w:rPr>
          <w:rFonts w:cs="Times New Roman"/>
          <w:noProof/>
        </w:rPr>
        <w:tab/>
        <w:t xml:space="preserve">Bodenreider, O. The Unified Medical Language System (UMLS): Integrating biomedical terminology. </w:t>
      </w:r>
      <w:r w:rsidRPr="004C6CF4">
        <w:rPr>
          <w:rFonts w:cs="Times New Roman"/>
          <w:i/>
          <w:iCs/>
          <w:noProof/>
        </w:rPr>
        <w:t>Nucleic Acids Res.</w:t>
      </w:r>
      <w:r w:rsidRPr="004C6CF4">
        <w:rPr>
          <w:rFonts w:cs="Times New Roman"/>
          <w:noProof/>
        </w:rPr>
        <w:t xml:space="preserve"> </w:t>
      </w:r>
      <w:r w:rsidRPr="004C6CF4">
        <w:rPr>
          <w:rFonts w:cs="Times New Roman"/>
          <w:b/>
          <w:bCs/>
          <w:noProof/>
        </w:rPr>
        <w:t>32</w:t>
      </w:r>
      <w:r w:rsidRPr="004C6CF4">
        <w:rPr>
          <w:rFonts w:cs="Times New Roman"/>
          <w:noProof/>
        </w:rPr>
        <w:t>, 267–270 (2004).</w:t>
      </w:r>
    </w:p>
    <w:p w14:paraId="61457942"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18.</w:t>
      </w:r>
      <w:r w:rsidRPr="004C6CF4">
        <w:rPr>
          <w:rFonts w:cs="Times New Roman"/>
          <w:noProof/>
        </w:rPr>
        <w:tab/>
        <w:t xml:space="preserve">Perlis, R. H. </w:t>
      </w:r>
      <w:r w:rsidRPr="004C6CF4">
        <w:rPr>
          <w:rFonts w:cs="Times New Roman"/>
          <w:i/>
          <w:iCs/>
          <w:noProof/>
        </w:rPr>
        <w:t>et al.</w:t>
      </w:r>
      <w:r w:rsidRPr="004C6CF4">
        <w:rPr>
          <w:rFonts w:cs="Times New Roman"/>
          <w:noProof/>
        </w:rPr>
        <w:t xml:space="preserve"> Using electronic medical records to enable large-scale studies in psychiatry: Treatment resistant depression as a model. </w:t>
      </w:r>
      <w:r w:rsidRPr="004C6CF4">
        <w:rPr>
          <w:rFonts w:cs="Times New Roman"/>
          <w:i/>
          <w:iCs/>
          <w:noProof/>
        </w:rPr>
        <w:t>Psychol. Med.</w:t>
      </w:r>
      <w:r w:rsidRPr="004C6CF4">
        <w:rPr>
          <w:rFonts w:cs="Times New Roman"/>
          <w:noProof/>
        </w:rPr>
        <w:t xml:space="preserve"> </w:t>
      </w:r>
      <w:r w:rsidRPr="004C6CF4">
        <w:rPr>
          <w:rFonts w:cs="Times New Roman"/>
          <w:b/>
          <w:bCs/>
          <w:noProof/>
        </w:rPr>
        <w:t>42</w:t>
      </w:r>
      <w:r w:rsidRPr="004C6CF4">
        <w:rPr>
          <w:rFonts w:cs="Times New Roman"/>
          <w:noProof/>
        </w:rPr>
        <w:t>, 41–50 (2012).</w:t>
      </w:r>
    </w:p>
    <w:p w14:paraId="4149B61D"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19.</w:t>
      </w:r>
      <w:r w:rsidRPr="004C6CF4">
        <w:rPr>
          <w:rFonts w:cs="Times New Roman"/>
          <w:noProof/>
        </w:rPr>
        <w:tab/>
        <w:t xml:space="preserve">Zhong, Q.-Y. </w:t>
      </w:r>
      <w:r w:rsidRPr="004C6CF4">
        <w:rPr>
          <w:rFonts w:cs="Times New Roman"/>
          <w:i/>
          <w:iCs/>
          <w:noProof/>
        </w:rPr>
        <w:t>et al.</w:t>
      </w:r>
      <w:r w:rsidRPr="004C6CF4">
        <w:rPr>
          <w:rFonts w:cs="Times New Roman"/>
          <w:noProof/>
        </w:rPr>
        <w:t xml:space="preserve"> Use of natural language processing in electronic medical records to identify pregnant women with suicidal behavior: towards a solution to the complex classification problem. </w:t>
      </w:r>
      <w:r w:rsidRPr="004C6CF4">
        <w:rPr>
          <w:rFonts w:cs="Times New Roman"/>
          <w:i/>
          <w:iCs/>
          <w:noProof/>
        </w:rPr>
        <w:t>Eur. J. Epidemiol.</w:t>
      </w:r>
      <w:r w:rsidRPr="004C6CF4">
        <w:rPr>
          <w:rFonts w:cs="Times New Roman"/>
          <w:noProof/>
        </w:rPr>
        <w:t xml:space="preserve"> </w:t>
      </w:r>
      <w:r w:rsidRPr="004C6CF4">
        <w:rPr>
          <w:rFonts w:cs="Times New Roman"/>
          <w:b/>
          <w:bCs/>
          <w:noProof/>
        </w:rPr>
        <w:t>34</w:t>
      </w:r>
      <w:r w:rsidRPr="004C6CF4">
        <w:rPr>
          <w:rFonts w:cs="Times New Roman"/>
          <w:noProof/>
        </w:rPr>
        <w:t>, 153–162 (2019).</w:t>
      </w:r>
    </w:p>
    <w:p w14:paraId="43DC47E8"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20.</w:t>
      </w:r>
      <w:r w:rsidRPr="004C6CF4">
        <w:rPr>
          <w:rFonts w:cs="Times New Roman"/>
          <w:noProof/>
        </w:rPr>
        <w:tab/>
        <w:t xml:space="preserve">Qiu-Yue, Z. </w:t>
      </w:r>
      <w:r w:rsidRPr="004C6CF4">
        <w:rPr>
          <w:rFonts w:cs="Times New Roman"/>
          <w:i/>
          <w:iCs/>
          <w:noProof/>
        </w:rPr>
        <w:t>et al.</w:t>
      </w:r>
      <w:r w:rsidRPr="004C6CF4">
        <w:rPr>
          <w:rFonts w:cs="Times New Roman"/>
          <w:noProof/>
        </w:rPr>
        <w:t xml:space="preserve"> Screening pregnant women for suicidal behavior in electronic medical records: diagnostic codes vs. clinical notes processed by natural language processing. </w:t>
      </w:r>
      <w:r w:rsidRPr="004C6CF4">
        <w:rPr>
          <w:rFonts w:cs="Times New Roman"/>
          <w:i/>
          <w:iCs/>
          <w:noProof/>
        </w:rPr>
        <w:t>BMC Med. Inform. Decis. Mak.</w:t>
      </w:r>
      <w:r w:rsidRPr="004C6CF4">
        <w:rPr>
          <w:rFonts w:cs="Times New Roman"/>
          <w:noProof/>
        </w:rPr>
        <w:t xml:space="preserve"> </w:t>
      </w:r>
      <w:r w:rsidRPr="004C6CF4">
        <w:rPr>
          <w:rFonts w:cs="Times New Roman"/>
          <w:b/>
          <w:bCs/>
          <w:noProof/>
        </w:rPr>
        <w:t>18</w:t>
      </w:r>
      <w:r w:rsidRPr="004C6CF4">
        <w:rPr>
          <w:rFonts w:cs="Times New Roman"/>
          <w:noProof/>
        </w:rPr>
        <w:t>, 30 (2018).</w:t>
      </w:r>
    </w:p>
    <w:p w14:paraId="74BF7328"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21.</w:t>
      </w:r>
      <w:r w:rsidRPr="004C6CF4">
        <w:rPr>
          <w:rFonts w:cs="Times New Roman"/>
          <w:noProof/>
        </w:rPr>
        <w:tab/>
        <w:t xml:space="preserve">Esteva, A. </w:t>
      </w:r>
      <w:r w:rsidRPr="004C6CF4">
        <w:rPr>
          <w:rFonts w:cs="Times New Roman"/>
          <w:i/>
          <w:iCs/>
          <w:noProof/>
        </w:rPr>
        <w:t>et al.</w:t>
      </w:r>
      <w:r w:rsidRPr="004C6CF4">
        <w:rPr>
          <w:rFonts w:cs="Times New Roman"/>
          <w:noProof/>
        </w:rPr>
        <w:t xml:space="preserve"> A guide to deep learning in healthcare. </w:t>
      </w:r>
      <w:r w:rsidRPr="004C6CF4">
        <w:rPr>
          <w:rFonts w:cs="Times New Roman"/>
          <w:i/>
          <w:iCs/>
          <w:noProof/>
        </w:rPr>
        <w:t>Nat. Med.</w:t>
      </w:r>
      <w:r w:rsidRPr="004C6CF4">
        <w:rPr>
          <w:rFonts w:cs="Times New Roman"/>
          <w:noProof/>
        </w:rPr>
        <w:t xml:space="preserve"> </w:t>
      </w:r>
      <w:r w:rsidRPr="004C6CF4">
        <w:rPr>
          <w:rFonts w:cs="Times New Roman"/>
          <w:b/>
          <w:bCs/>
          <w:noProof/>
        </w:rPr>
        <w:t>25</w:t>
      </w:r>
      <w:r w:rsidRPr="004C6CF4">
        <w:rPr>
          <w:rFonts w:cs="Times New Roman"/>
          <w:noProof/>
        </w:rPr>
        <w:t>, 24–29 (2019).</w:t>
      </w:r>
    </w:p>
    <w:p w14:paraId="6FB1CA9A"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22.</w:t>
      </w:r>
      <w:r w:rsidRPr="004C6CF4">
        <w:rPr>
          <w:rFonts w:cs="Times New Roman"/>
          <w:noProof/>
        </w:rPr>
        <w:tab/>
        <w:t xml:space="preserve">Nature Medicine. Medicine in the digital age. </w:t>
      </w:r>
      <w:r w:rsidRPr="004C6CF4">
        <w:rPr>
          <w:rFonts w:cs="Times New Roman"/>
          <w:i/>
          <w:iCs/>
          <w:noProof/>
        </w:rPr>
        <w:t>Nat. Med.</w:t>
      </w:r>
      <w:r w:rsidRPr="004C6CF4">
        <w:rPr>
          <w:rFonts w:cs="Times New Roman"/>
          <w:noProof/>
        </w:rPr>
        <w:t xml:space="preserve"> </w:t>
      </w:r>
      <w:r w:rsidRPr="004C6CF4">
        <w:rPr>
          <w:rFonts w:cs="Times New Roman"/>
          <w:b/>
          <w:bCs/>
          <w:noProof/>
        </w:rPr>
        <w:t>25</w:t>
      </w:r>
      <w:r w:rsidRPr="004C6CF4">
        <w:rPr>
          <w:rFonts w:cs="Times New Roman"/>
          <w:noProof/>
        </w:rPr>
        <w:t>, 1 (2019).</w:t>
      </w:r>
    </w:p>
    <w:p w14:paraId="12B66691"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23.</w:t>
      </w:r>
      <w:r w:rsidRPr="004C6CF4">
        <w:rPr>
          <w:rFonts w:cs="Times New Roman"/>
          <w:noProof/>
        </w:rPr>
        <w:tab/>
        <w:t xml:space="preserve">He, J. </w:t>
      </w:r>
      <w:r w:rsidRPr="004C6CF4">
        <w:rPr>
          <w:rFonts w:cs="Times New Roman"/>
          <w:i/>
          <w:iCs/>
          <w:noProof/>
        </w:rPr>
        <w:t>et al.</w:t>
      </w:r>
      <w:r w:rsidRPr="004C6CF4">
        <w:rPr>
          <w:rFonts w:cs="Times New Roman"/>
          <w:noProof/>
        </w:rPr>
        <w:t xml:space="preserve"> The practical implementation of artificial intelligence technologies in medicine. </w:t>
      </w:r>
      <w:r w:rsidRPr="004C6CF4">
        <w:rPr>
          <w:rFonts w:cs="Times New Roman"/>
          <w:i/>
          <w:iCs/>
          <w:noProof/>
        </w:rPr>
        <w:t>Nat. Med.</w:t>
      </w:r>
      <w:r w:rsidRPr="004C6CF4">
        <w:rPr>
          <w:rFonts w:cs="Times New Roman"/>
          <w:noProof/>
        </w:rPr>
        <w:t xml:space="preserve"> </w:t>
      </w:r>
      <w:r w:rsidRPr="004C6CF4">
        <w:rPr>
          <w:rFonts w:cs="Times New Roman"/>
          <w:b/>
          <w:bCs/>
          <w:noProof/>
        </w:rPr>
        <w:t>25</w:t>
      </w:r>
      <w:r w:rsidRPr="004C6CF4">
        <w:rPr>
          <w:rFonts w:cs="Times New Roman"/>
          <w:noProof/>
        </w:rPr>
        <w:t>, 30–36 (2019).</w:t>
      </w:r>
    </w:p>
    <w:p w14:paraId="7A897C73"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24.</w:t>
      </w:r>
      <w:r w:rsidRPr="004C6CF4">
        <w:rPr>
          <w:rFonts w:cs="Times New Roman"/>
          <w:noProof/>
        </w:rPr>
        <w:tab/>
        <w:t xml:space="preserve">Kermany, D. S. </w:t>
      </w:r>
      <w:r w:rsidRPr="004C6CF4">
        <w:rPr>
          <w:rFonts w:cs="Times New Roman"/>
          <w:i/>
          <w:iCs/>
          <w:noProof/>
        </w:rPr>
        <w:t>et al.</w:t>
      </w:r>
      <w:r w:rsidRPr="004C6CF4">
        <w:rPr>
          <w:rFonts w:cs="Times New Roman"/>
          <w:noProof/>
        </w:rPr>
        <w:t xml:space="preserve"> Identifying Medical Diagnoses and Treatable Diseases by Image-Based Deep Learning. </w:t>
      </w:r>
      <w:r w:rsidRPr="004C6CF4">
        <w:rPr>
          <w:rFonts w:cs="Times New Roman"/>
          <w:i/>
          <w:iCs/>
          <w:noProof/>
        </w:rPr>
        <w:t>Cell</w:t>
      </w:r>
      <w:r w:rsidRPr="004C6CF4">
        <w:rPr>
          <w:rFonts w:cs="Times New Roman"/>
          <w:noProof/>
        </w:rPr>
        <w:t xml:space="preserve"> </w:t>
      </w:r>
      <w:r w:rsidRPr="004C6CF4">
        <w:rPr>
          <w:rFonts w:cs="Times New Roman"/>
          <w:b/>
          <w:bCs/>
          <w:noProof/>
        </w:rPr>
        <w:t>172</w:t>
      </w:r>
      <w:r w:rsidRPr="004C6CF4">
        <w:rPr>
          <w:rFonts w:cs="Times New Roman"/>
          <w:noProof/>
        </w:rPr>
        <w:t>, 1122-1131.e9 (2018).</w:t>
      </w:r>
    </w:p>
    <w:p w14:paraId="07783554"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25.</w:t>
      </w:r>
      <w:r w:rsidRPr="004C6CF4">
        <w:rPr>
          <w:rFonts w:cs="Times New Roman"/>
          <w:noProof/>
        </w:rPr>
        <w:tab/>
        <w:t xml:space="preserve">Esteva, A. </w:t>
      </w:r>
      <w:r w:rsidRPr="004C6CF4">
        <w:rPr>
          <w:rFonts w:cs="Times New Roman"/>
          <w:i/>
          <w:iCs/>
          <w:noProof/>
        </w:rPr>
        <w:t>et al.</w:t>
      </w:r>
      <w:r w:rsidRPr="004C6CF4">
        <w:rPr>
          <w:rFonts w:cs="Times New Roman"/>
          <w:noProof/>
        </w:rPr>
        <w:t xml:space="preserve"> Dermatologist-level classification of skin cancer with deep neural networks. </w:t>
      </w:r>
      <w:r w:rsidRPr="004C6CF4">
        <w:rPr>
          <w:rFonts w:cs="Times New Roman"/>
          <w:i/>
          <w:iCs/>
          <w:noProof/>
        </w:rPr>
        <w:t>Nature</w:t>
      </w:r>
      <w:r w:rsidRPr="004C6CF4">
        <w:rPr>
          <w:rFonts w:cs="Times New Roman"/>
          <w:noProof/>
        </w:rPr>
        <w:t xml:space="preserve"> </w:t>
      </w:r>
      <w:r w:rsidRPr="004C6CF4">
        <w:rPr>
          <w:rFonts w:cs="Times New Roman"/>
          <w:b/>
          <w:bCs/>
          <w:noProof/>
        </w:rPr>
        <w:t>542</w:t>
      </w:r>
      <w:r w:rsidRPr="004C6CF4">
        <w:rPr>
          <w:rFonts w:cs="Times New Roman"/>
          <w:noProof/>
        </w:rPr>
        <w:t>, 115–118 (2017).</w:t>
      </w:r>
    </w:p>
    <w:p w14:paraId="29A27A36"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26.</w:t>
      </w:r>
      <w:r w:rsidRPr="004C6CF4">
        <w:rPr>
          <w:rFonts w:cs="Times New Roman"/>
          <w:noProof/>
        </w:rPr>
        <w:tab/>
        <w:t xml:space="preserve">Chen, P.-H. C. </w:t>
      </w:r>
      <w:r w:rsidRPr="004C6CF4">
        <w:rPr>
          <w:rFonts w:cs="Times New Roman"/>
          <w:i/>
          <w:iCs/>
          <w:noProof/>
        </w:rPr>
        <w:t>et al.</w:t>
      </w:r>
      <w:r w:rsidRPr="004C6CF4">
        <w:rPr>
          <w:rFonts w:cs="Times New Roman"/>
          <w:noProof/>
        </w:rPr>
        <w:t xml:space="preserve"> An augmented reality microscope with real-time artificial intelligence integration for cancer diagnosis. </w:t>
      </w:r>
      <w:r w:rsidRPr="004C6CF4">
        <w:rPr>
          <w:rFonts w:cs="Times New Roman"/>
          <w:i/>
          <w:iCs/>
          <w:noProof/>
        </w:rPr>
        <w:t>Nat. Med.</w:t>
      </w:r>
      <w:r w:rsidRPr="004C6CF4">
        <w:rPr>
          <w:rFonts w:cs="Times New Roman"/>
          <w:noProof/>
        </w:rPr>
        <w:t xml:space="preserve"> (2019). doi:10.1038/s41591-019-0539-7</w:t>
      </w:r>
    </w:p>
    <w:p w14:paraId="593720EA"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27.</w:t>
      </w:r>
      <w:r w:rsidRPr="004C6CF4">
        <w:rPr>
          <w:rFonts w:cs="Times New Roman"/>
          <w:noProof/>
        </w:rPr>
        <w:tab/>
        <w:t xml:space="preserve">Riley, P. Three pitfalls to avoid in machine learning. </w:t>
      </w:r>
      <w:r w:rsidRPr="004C6CF4">
        <w:rPr>
          <w:rFonts w:cs="Times New Roman"/>
          <w:i/>
          <w:iCs/>
          <w:noProof/>
        </w:rPr>
        <w:t>Nature</w:t>
      </w:r>
      <w:r w:rsidRPr="004C6CF4">
        <w:rPr>
          <w:rFonts w:cs="Times New Roman"/>
          <w:noProof/>
        </w:rPr>
        <w:t xml:space="preserve"> </w:t>
      </w:r>
      <w:r w:rsidRPr="004C6CF4">
        <w:rPr>
          <w:rFonts w:cs="Times New Roman"/>
          <w:b/>
          <w:bCs/>
          <w:noProof/>
        </w:rPr>
        <w:t>572</w:t>
      </w:r>
      <w:r w:rsidRPr="004C6CF4">
        <w:rPr>
          <w:rFonts w:cs="Times New Roman"/>
          <w:noProof/>
        </w:rPr>
        <w:t>, 27–29 (2019).</w:t>
      </w:r>
    </w:p>
    <w:p w14:paraId="32F68CCC"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28.</w:t>
      </w:r>
      <w:r w:rsidRPr="004C6CF4">
        <w:rPr>
          <w:rFonts w:cs="Times New Roman"/>
          <w:noProof/>
        </w:rPr>
        <w:tab/>
        <w:t xml:space="preserve">LeCun, Y., Bengio, Y. &amp; Hinton, G. Deep learning. </w:t>
      </w:r>
      <w:r w:rsidRPr="004C6CF4">
        <w:rPr>
          <w:rFonts w:cs="Times New Roman"/>
          <w:i/>
          <w:iCs/>
          <w:noProof/>
        </w:rPr>
        <w:t>Nature</w:t>
      </w:r>
      <w:r w:rsidRPr="004C6CF4">
        <w:rPr>
          <w:rFonts w:cs="Times New Roman"/>
          <w:noProof/>
        </w:rPr>
        <w:t xml:space="preserve"> </w:t>
      </w:r>
      <w:r w:rsidRPr="004C6CF4">
        <w:rPr>
          <w:rFonts w:cs="Times New Roman"/>
          <w:b/>
          <w:bCs/>
          <w:noProof/>
        </w:rPr>
        <w:t>521</w:t>
      </w:r>
      <w:r w:rsidRPr="004C6CF4">
        <w:rPr>
          <w:rFonts w:cs="Times New Roman"/>
          <w:noProof/>
        </w:rPr>
        <w:t>, 436–444 (2015).</w:t>
      </w:r>
    </w:p>
    <w:p w14:paraId="37843524"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29.</w:t>
      </w:r>
      <w:r w:rsidRPr="004C6CF4">
        <w:rPr>
          <w:rFonts w:cs="Times New Roman"/>
          <w:noProof/>
        </w:rPr>
        <w:tab/>
        <w:t xml:space="preserve">Gulshan, V. </w:t>
      </w:r>
      <w:r w:rsidRPr="004C6CF4">
        <w:rPr>
          <w:rFonts w:cs="Times New Roman"/>
          <w:i/>
          <w:iCs/>
          <w:noProof/>
        </w:rPr>
        <w:t>et al.</w:t>
      </w:r>
      <w:r w:rsidRPr="004C6CF4">
        <w:rPr>
          <w:rFonts w:cs="Times New Roman"/>
          <w:noProof/>
        </w:rPr>
        <w:t xml:space="preserve"> Development and validation of a deep learning algorithm for detection of diabetic retinopathy in retinal fundus photographs. </w:t>
      </w:r>
      <w:r w:rsidRPr="004C6CF4">
        <w:rPr>
          <w:rFonts w:cs="Times New Roman"/>
          <w:i/>
          <w:iCs/>
          <w:noProof/>
        </w:rPr>
        <w:t>JAMA</w:t>
      </w:r>
      <w:r w:rsidRPr="004C6CF4">
        <w:rPr>
          <w:rFonts w:cs="Times New Roman"/>
          <w:noProof/>
        </w:rPr>
        <w:t xml:space="preserve"> </w:t>
      </w:r>
      <w:r w:rsidRPr="004C6CF4">
        <w:rPr>
          <w:rFonts w:cs="Times New Roman"/>
          <w:b/>
          <w:bCs/>
          <w:noProof/>
        </w:rPr>
        <w:t>316</w:t>
      </w:r>
      <w:r w:rsidRPr="004C6CF4">
        <w:rPr>
          <w:rFonts w:cs="Times New Roman"/>
          <w:noProof/>
        </w:rPr>
        <w:t>, 2402–2410 (2016).</w:t>
      </w:r>
    </w:p>
    <w:p w14:paraId="65F78768" w14:textId="77777777" w:rsidR="004C6CF4" w:rsidRPr="004C6CF4" w:rsidRDefault="004C6CF4" w:rsidP="004C6CF4">
      <w:pPr>
        <w:widowControl w:val="0"/>
        <w:autoSpaceDE w:val="0"/>
        <w:autoSpaceDN w:val="0"/>
        <w:adjustRightInd w:val="0"/>
        <w:ind w:left="640" w:hanging="640"/>
        <w:rPr>
          <w:rFonts w:cs="Times New Roman"/>
          <w:noProof/>
        </w:rPr>
      </w:pPr>
      <w:r w:rsidRPr="004C6CF4">
        <w:rPr>
          <w:rFonts w:cs="Times New Roman"/>
          <w:noProof/>
        </w:rPr>
        <w:t>30.</w:t>
      </w:r>
      <w:r w:rsidRPr="004C6CF4">
        <w:rPr>
          <w:rFonts w:cs="Times New Roman"/>
          <w:noProof/>
        </w:rPr>
        <w:tab/>
        <w:t xml:space="preserve">Ting, D. S. W. </w:t>
      </w:r>
      <w:r w:rsidRPr="004C6CF4">
        <w:rPr>
          <w:rFonts w:cs="Times New Roman"/>
          <w:i/>
          <w:iCs/>
          <w:noProof/>
        </w:rPr>
        <w:t>et al.</w:t>
      </w:r>
      <w:r w:rsidRPr="004C6CF4">
        <w:rPr>
          <w:rFonts w:cs="Times New Roman"/>
          <w:noProof/>
        </w:rPr>
        <w:t xml:space="preserve"> Development and validation of a deep learning system for diabetic retinopathy and related eye diseases using retinal images from multiethnic populations with diabetes. </w:t>
      </w:r>
      <w:r w:rsidRPr="004C6CF4">
        <w:rPr>
          <w:rFonts w:cs="Times New Roman"/>
          <w:i/>
          <w:iCs/>
          <w:noProof/>
        </w:rPr>
        <w:t>JAMA</w:t>
      </w:r>
      <w:r w:rsidRPr="004C6CF4">
        <w:rPr>
          <w:rFonts w:cs="Times New Roman"/>
          <w:noProof/>
        </w:rPr>
        <w:t xml:space="preserve"> </w:t>
      </w:r>
      <w:r w:rsidRPr="004C6CF4">
        <w:rPr>
          <w:rFonts w:cs="Times New Roman"/>
          <w:b/>
          <w:bCs/>
          <w:noProof/>
        </w:rPr>
        <w:t>318</w:t>
      </w:r>
      <w:r w:rsidRPr="004C6CF4">
        <w:rPr>
          <w:rFonts w:cs="Times New Roman"/>
          <w:noProof/>
        </w:rPr>
        <w:t>, 2211–2223 (2017).</w:t>
      </w:r>
    </w:p>
    <w:p w14:paraId="19786563" w14:textId="50C54A58" w:rsidR="00B14A3C" w:rsidRPr="00755FAC" w:rsidRDefault="00B14A3C" w:rsidP="004C6CF4">
      <w:pPr>
        <w:widowControl w:val="0"/>
        <w:autoSpaceDE w:val="0"/>
        <w:autoSpaceDN w:val="0"/>
        <w:adjustRightInd w:val="0"/>
        <w:ind w:left="640" w:hanging="640"/>
        <w:rPr>
          <w:b/>
          <w:lang w:val="en-US" w:eastAsia="zh-CN"/>
        </w:rPr>
      </w:pPr>
      <w:r>
        <w:rPr>
          <w:lang w:val="en-US" w:eastAsia="zh-CN"/>
        </w:rPr>
        <w:fldChar w:fldCharType="end"/>
      </w:r>
    </w:p>
    <w:sectPr w:rsidR="00B14A3C" w:rsidRPr="00755FAC" w:rsidSect="00156E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033908"/>
    <w:rsid w:val="00036E45"/>
    <w:rsid w:val="000463A9"/>
    <w:rsid w:val="0008145A"/>
    <w:rsid w:val="00103F65"/>
    <w:rsid w:val="0012746E"/>
    <w:rsid w:val="00156EC5"/>
    <w:rsid w:val="00157B56"/>
    <w:rsid w:val="001944F3"/>
    <w:rsid w:val="001F79DF"/>
    <w:rsid w:val="00253C94"/>
    <w:rsid w:val="0028753D"/>
    <w:rsid w:val="00293BFB"/>
    <w:rsid w:val="002E2667"/>
    <w:rsid w:val="00384908"/>
    <w:rsid w:val="003A3FA4"/>
    <w:rsid w:val="003A5D33"/>
    <w:rsid w:val="003C27A4"/>
    <w:rsid w:val="00460010"/>
    <w:rsid w:val="004C6CF4"/>
    <w:rsid w:val="004E2365"/>
    <w:rsid w:val="004F5BAD"/>
    <w:rsid w:val="005E2C4B"/>
    <w:rsid w:val="00654631"/>
    <w:rsid w:val="006A7A1B"/>
    <w:rsid w:val="006A7B7A"/>
    <w:rsid w:val="006B50B8"/>
    <w:rsid w:val="006E1DC9"/>
    <w:rsid w:val="00703718"/>
    <w:rsid w:val="00703FA0"/>
    <w:rsid w:val="007547A7"/>
    <w:rsid w:val="00755FAC"/>
    <w:rsid w:val="00806920"/>
    <w:rsid w:val="00821AD3"/>
    <w:rsid w:val="00854EF8"/>
    <w:rsid w:val="00882A33"/>
    <w:rsid w:val="008F1FC9"/>
    <w:rsid w:val="0093022F"/>
    <w:rsid w:val="009674D2"/>
    <w:rsid w:val="009D5D90"/>
    <w:rsid w:val="009E7735"/>
    <w:rsid w:val="00A44DCD"/>
    <w:rsid w:val="00A932C1"/>
    <w:rsid w:val="00AE4831"/>
    <w:rsid w:val="00B14A3C"/>
    <w:rsid w:val="00B3508D"/>
    <w:rsid w:val="00B404F6"/>
    <w:rsid w:val="00B4592B"/>
    <w:rsid w:val="00B55BDD"/>
    <w:rsid w:val="00BA09F3"/>
    <w:rsid w:val="00BB0F44"/>
    <w:rsid w:val="00BC1129"/>
    <w:rsid w:val="00BF396E"/>
    <w:rsid w:val="00CA28B7"/>
    <w:rsid w:val="00CD2005"/>
    <w:rsid w:val="00D066E6"/>
    <w:rsid w:val="00D71462"/>
    <w:rsid w:val="00D735E6"/>
    <w:rsid w:val="00D86025"/>
    <w:rsid w:val="00DA7A78"/>
    <w:rsid w:val="00DB70B4"/>
    <w:rsid w:val="00DC6A15"/>
    <w:rsid w:val="00DD30B1"/>
    <w:rsid w:val="00E96F0C"/>
    <w:rsid w:val="00EA130B"/>
    <w:rsid w:val="00EA1C9A"/>
    <w:rsid w:val="00EF3625"/>
    <w:rsid w:val="00F77B4A"/>
    <w:rsid w:val="00FD60B5"/>
    <w:rsid w:val="00FF2F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0855">
      <w:bodyDiv w:val="1"/>
      <w:marLeft w:val="0"/>
      <w:marRight w:val="0"/>
      <w:marTop w:val="0"/>
      <w:marBottom w:val="0"/>
      <w:divBdr>
        <w:top w:val="none" w:sz="0" w:space="0" w:color="auto"/>
        <w:left w:val="none" w:sz="0" w:space="0" w:color="auto"/>
        <w:bottom w:val="none" w:sz="0" w:space="0" w:color="auto"/>
        <w:right w:val="none" w:sz="0" w:space="0" w:color="auto"/>
      </w:divBdr>
    </w:div>
    <w:div w:id="280259082">
      <w:bodyDiv w:val="1"/>
      <w:marLeft w:val="0"/>
      <w:marRight w:val="0"/>
      <w:marTop w:val="0"/>
      <w:marBottom w:val="0"/>
      <w:divBdr>
        <w:top w:val="none" w:sz="0" w:space="0" w:color="auto"/>
        <w:left w:val="none" w:sz="0" w:space="0" w:color="auto"/>
        <w:bottom w:val="none" w:sz="0" w:space="0" w:color="auto"/>
        <w:right w:val="none" w:sz="0" w:space="0" w:color="auto"/>
      </w:divBdr>
    </w:div>
    <w:div w:id="503277274">
      <w:bodyDiv w:val="1"/>
      <w:marLeft w:val="0"/>
      <w:marRight w:val="0"/>
      <w:marTop w:val="0"/>
      <w:marBottom w:val="0"/>
      <w:divBdr>
        <w:top w:val="none" w:sz="0" w:space="0" w:color="auto"/>
        <w:left w:val="none" w:sz="0" w:space="0" w:color="auto"/>
        <w:bottom w:val="none" w:sz="0" w:space="0" w:color="auto"/>
        <w:right w:val="none" w:sz="0" w:space="0" w:color="auto"/>
      </w:divBdr>
    </w:div>
    <w:div w:id="514659470">
      <w:bodyDiv w:val="1"/>
      <w:marLeft w:val="0"/>
      <w:marRight w:val="0"/>
      <w:marTop w:val="0"/>
      <w:marBottom w:val="0"/>
      <w:divBdr>
        <w:top w:val="none" w:sz="0" w:space="0" w:color="auto"/>
        <w:left w:val="none" w:sz="0" w:space="0" w:color="auto"/>
        <w:bottom w:val="none" w:sz="0" w:space="0" w:color="auto"/>
        <w:right w:val="none" w:sz="0" w:space="0" w:color="auto"/>
      </w:divBdr>
    </w:div>
    <w:div w:id="648023374">
      <w:bodyDiv w:val="1"/>
      <w:marLeft w:val="0"/>
      <w:marRight w:val="0"/>
      <w:marTop w:val="0"/>
      <w:marBottom w:val="0"/>
      <w:divBdr>
        <w:top w:val="none" w:sz="0" w:space="0" w:color="auto"/>
        <w:left w:val="none" w:sz="0" w:space="0" w:color="auto"/>
        <w:bottom w:val="none" w:sz="0" w:space="0" w:color="auto"/>
        <w:right w:val="none" w:sz="0" w:space="0" w:color="auto"/>
      </w:divBdr>
    </w:div>
    <w:div w:id="1050113191">
      <w:bodyDiv w:val="1"/>
      <w:marLeft w:val="0"/>
      <w:marRight w:val="0"/>
      <w:marTop w:val="0"/>
      <w:marBottom w:val="0"/>
      <w:divBdr>
        <w:top w:val="none" w:sz="0" w:space="0" w:color="auto"/>
        <w:left w:val="none" w:sz="0" w:space="0" w:color="auto"/>
        <w:bottom w:val="none" w:sz="0" w:space="0" w:color="auto"/>
        <w:right w:val="none" w:sz="0" w:space="0" w:color="auto"/>
      </w:divBdr>
    </w:div>
    <w:div w:id="1658849882">
      <w:bodyDiv w:val="1"/>
      <w:marLeft w:val="0"/>
      <w:marRight w:val="0"/>
      <w:marTop w:val="0"/>
      <w:marBottom w:val="0"/>
      <w:divBdr>
        <w:top w:val="none" w:sz="0" w:space="0" w:color="auto"/>
        <w:left w:val="none" w:sz="0" w:space="0" w:color="auto"/>
        <w:bottom w:val="none" w:sz="0" w:space="0" w:color="auto"/>
        <w:right w:val="none" w:sz="0" w:space="0" w:color="auto"/>
      </w:divBdr>
    </w:div>
    <w:div w:id="2057044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inciwei.cn/k212206.html" TargetMode="External"/><Relationship Id="rId12" Type="http://schemas.openxmlformats.org/officeDocument/2006/relationships/hyperlink" Target="https://christophm.github.io/interpretable-ml-boo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artners.org/About/Default.aspx" TargetMode="External"/><Relationship Id="rId7" Type="http://schemas.openxmlformats.org/officeDocument/2006/relationships/hyperlink" Target="https://www.who.int/classifications/icd/en/" TargetMode="External"/><Relationship Id="rId8" Type="http://schemas.openxmlformats.org/officeDocument/2006/relationships/hyperlink" Target="http://ctakes.apache.org/" TargetMode="External"/><Relationship Id="rId9" Type="http://schemas.openxmlformats.org/officeDocument/2006/relationships/hyperlink" Target="https://www.nlm.nih.gov/research/umls/knowledge_sources/metathesaurus/" TargetMode="Externa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9F370-75B8-284D-80F4-600908CA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22161</Words>
  <Characters>135848</Characters>
  <Application>Microsoft Macintosh Word</Application>
  <DocSecurity>0</DocSecurity>
  <Lines>7149</Lines>
  <Paragraphs>5097</Paragraphs>
  <ScaleCrop>false</ScaleCrop>
  <Company>Free</Company>
  <LinksUpToDate>false</LinksUpToDate>
  <CharactersWithSpaces>152912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29</cp:revision>
  <dcterms:created xsi:type="dcterms:W3CDTF">2019-07-15T02:20:00Z</dcterms:created>
  <dcterms:modified xsi:type="dcterms:W3CDTF">2019-08-17T11:05:00Z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