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 xml:space="preserve">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0C05DE67" w14:textId="77777777" w:rsidR="00495099"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495099" w:rsidRPr="00945843">
        <w:rPr>
          <w:noProof/>
          <w:lang w:val="en-US"/>
        </w:rPr>
        <w:t>Abstract</w:t>
      </w:r>
      <w:r w:rsidR="00495099">
        <w:rPr>
          <w:noProof/>
        </w:rPr>
        <w:tab/>
      </w:r>
      <w:r w:rsidR="00495099">
        <w:rPr>
          <w:noProof/>
        </w:rPr>
        <w:fldChar w:fldCharType="begin"/>
      </w:r>
      <w:r w:rsidR="00495099">
        <w:rPr>
          <w:noProof/>
        </w:rPr>
        <w:instrText xml:space="preserve"> PAGEREF _Toc430943784 \h </w:instrText>
      </w:r>
      <w:r w:rsidR="00495099">
        <w:rPr>
          <w:noProof/>
        </w:rPr>
      </w:r>
      <w:r w:rsidR="00495099">
        <w:rPr>
          <w:noProof/>
        </w:rPr>
        <w:fldChar w:fldCharType="separate"/>
      </w:r>
      <w:r w:rsidR="00495099">
        <w:rPr>
          <w:noProof/>
        </w:rPr>
        <w:t>3</w:t>
      </w:r>
      <w:r w:rsidR="00495099">
        <w:rPr>
          <w:noProof/>
        </w:rPr>
        <w:fldChar w:fldCharType="end"/>
      </w:r>
    </w:p>
    <w:p w14:paraId="5831D9E7" w14:textId="77777777" w:rsidR="00495099" w:rsidRDefault="00495099">
      <w:pPr>
        <w:pStyle w:val="TOC1"/>
        <w:tabs>
          <w:tab w:val="right" w:leader="dot" w:pos="10450"/>
        </w:tabs>
        <w:rPr>
          <w:b w:val="0"/>
          <w:noProof/>
          <w:lang w:val="en-US" w:eastAsia="ja-JP"/>
        </w:rPr>
      </w:pPr>
      <w:r w:rsidRPr="00945843">
        <w:rPr>
          <w:noProof/>
          <w:lang w:val="en-US" w:eastAsia="zh-CN"/>
        </w:rPr>
        <w:t>Introduction</w:t>
      </w:r>
      <w:r>
        <w:rPr>
          <w:noProof/>
        </w:rPr>
        <w:tab/>
      </w:r>
      <w:r>
        <w:rPr>
          <w:noProof/>
        </w:rPr>
        <w:fldChar w:fldCharType="begin"/>
      </w:r>
      <w:r>
        <w:rPr>
          <w:noProof/>
        </w:rPr>
        <w:instrText xml:space="preserve"> PAGEREF _Toc430943785 \h </w:instrText>
      </w:r>
      <w:r>
        <w:rPr>
          <w:noProof/>
        </w:rPr>
      </w:r>
      <w:r>
        <w:rPr>
          <w:noProof/>
        </w:rPr>
        <w:fldChar w:fldCharType="separate"/>
      </w:r>
      <w:r>
        <w:rPr>
          <w:noProof/>
        </w:rPr>
        <w:t>4</w:t>
      </w:r>
      <w:r>
        <w:rPr>
          <w:noProof/>
        </w:rPr>
        <w:fldChar w:fldCharType="end"/>
      </w:r>
    </w:p>
    <w:p w14:paraId="0B814D83" w14:textId="77777777" w:rsidR="00495099" w:rsidRDefault="00495099">
      <w:pPr>
        <w:pStyle w:val="TOC1"/>
        <w:tabs>
          <w:tab w:val="right" w:leader="dot" w:pos="10450"/>
        </w:tabs>
        <w:rPr>
          <w:b w:val="0"/>
          <w:noProof/>
          <w:lang w:val="en-US" w:eastAsia="ja-JP"/>
        </w:rPr>
      </w:pPr>
      <w:r w:rsidRPr="00945843">
        <w:rPr>
          <w:noProof/>
          <w:lang w:val="en-US" w:eastAsia="zh-CN"/>
        </w:rPr>
        <w:t>Methods</w:t>
      </w:r>
      <w:r>
        <w:rPr>
          <w:noProof/>
        </w:rPr>
        <w:tab/>
      </w:r>
      <w:r>
        <w:rPr>
          <w:noProof/>
        </w:rPr>
        <w:fldChar w:fldCharType="begin"/>
      </w:r>
      <w:r>
        <w:rPr>
          <w:noProof/>
        </w:rPr>
        <w:instrText xml:space="preserve"> PAGEREF _Toc430943786 \h </w:instrText>
      </w:r>
      <w:r>
        <w:rPr>
          <w:noProof/>
        </w:rPr>
      </w:r>
      <w:r>
        <w:rPr>
          <w:noProof/>
        </w:rPr>
        <w:fldChar w:fldCharType="separate"/>
      </w:r>
      <w:r>
        <w:rPr>
          <w:noProof/>
        </w:rPr>
        <w:t>5</w:t>
      </w:r>
      <w:r>
        <w:rPr>
          <w:noProof/>
        </w:rPr>
        <w:fldChar w:fldCharType="end"/>
      </w:r>
    </w:p>
    <w:p w14:paraId="7A873EDA"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Heritability in definition</w:t>
      </w:r>
      <w:r>
        <w:rPr>
          <w:noProof/>
        </w:rPr>
        <w:tab/>
      </w:r>
      <w:r>
        <w:rPr>
          <w:noProof/>
        </w:rPr>
        <w:fldChar w:fldCharType="begin"/>
      </w:r>
      <w:r>
        <w:rPr>
          <w:noProof/>
        </w:rPr>
        <w:instrText xml:space="preserve"> PAGEREF _Toc430943787 \h </w:instrText>
      </w:r>
      <w:r>
        <w:rPr>
          <w:noProof/>
        </w:rPr>
      </w:r>
      <w:r>
        <w:rPr>
          <w:noProof/>
        </w:rPr>
        <w:fldChar w:fldCharType="separate"/>
      </w:r>
      <w:r>
        <w:rPr>
          <w:noProof/>
        </w:rPr>
        <w:t>5</w:t>
      </w:r>
      <w:r>
        <w:rPr>
          <w:noProof/>
        </w:rPr>
        <w:fldChar w:fldCharType="end"/>
      </w:r>
    </w:p>
    <w:p w14:paraId="31832E1A"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Haseman-Elston regression</w:t>
      </w:r>
      <w:r>
        <w:rPr>
          <w:noProof/>
        </w:rPr>
        <w:tab/>
      </w:r>
      <w:r>
        <w:rPr>
          <w:noProof/>
        </w:rPr>
        <w:fldChar w:fldCharType="begin"/>
      </w:r>
      <w:r>
        <w:rPr>
          <w:noProof/>
        </w:rPr>
        <w:instrText xml:space="preserve"> PAGEREF _Toc430943788 \h </w:instrText>
      </w:r>
      <w:r>
        <w:rPr>
          <w:noProof/>
        </w:rPr>
      </w:r>
      <w:r>
        <w:rPr>
          <w:noProof/>
        </w:rPr>
        <w:fldChar w:fldCharType="separate"/>
      </w:r>
      <w:r>
        <w:rPr>
          <w:noProof/>
        </w:rPr>
        <w:t>5</w:t>
      </w:r>
      <w:r>
        <w:rPr>
          <w:noProof/>
        </w:rPr>
        <w:fldChar w:fldCharType="end"/>
      </w:r>
    </w:p>
    <w:p w14:paraId="108C6D7F"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 xml:space="preserve">Estimator I </w:t>
      </w:r>
      <m:oMath>
        <m:r>
          <m:rPr>
            <m:sty m:val="bi"/>
          </m:rPr>
          <w:rPr>
            <w:rFonts w:ascii="Cambria Math" w:hAnsi="Cambria Math"/>
            <w:noProof/>
            <w:lang w:val="en-US" w:eastAsia="zh-CN"/>
          </w:rPr>
          <m:t>hSNP</m:t>
        </m:r>
        <m:r>
          <m:rPr>
            <m:sty m:val="bi"/>
          </m:rPr>
          <w:rPr>
            <w:rFonts w:ascii="Cambria Math" w:hAnsi="Cambria Math"/>
            <w:noProof/>
            <w:lang w:val="en-US" w:eastAsia="zh-CN"/>
          </w:rPr>
          <m:t>2</m:t>
        </m:r>
      </m:oMath>
      <w:r w:rsidRPr="00945843">
        <w:rPr>
          <w:noProof/>
          <w:lang w:val="en-US" w:eastAsia="zh-CN"/>
        </w:rPr>
        <w:t>: SNP-heritability for unrelated samples – population-based design</w:t>
      </w:r>
      <w:r>
        <w:rPr>
          <w:noProof/>
        </w:rPr>
        <w:tab/>
      </w:r>
      <w:r>
        <w:rPr>
          <w:noProof/>
        </w:rPr>
        <w:fldChar w:fldCharType="begin"/>
      </w:r>
      <w:r>
        <w:rPr>
          <w:noProof/>
        </w:rPr>
        <w:instrText xml:space="preserve"> PAGEREF _Toc430943789 \h </w:instrText>
      </w:r>
      <w:r>
        <w:rPr>
          <w:noProof/>
        </w:rPr>
      </w:r>
      <w:r>
        <w:rPr>
          <w:noProof/>
        </w:rPr>
        <w:fldChar w:fldCharType="separate"/>
      </w:r>
      <w:r>
        <w:rPr>
          <w:noProof/>
        </w:rPr>
        <w:t>6</w:t>
      </w:r>
      <w:r>
        <w:rPr>
          <w:noProof/>
        </w:rPr>
        <w:fldChar w:fldCharType="end"/>
      </w:r>
    </w:p>
    <w:p w14:paraId="765150A3"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unrelated samples (classic GRM)</w:t>
      </w:r>
      <w:r>
        <w:rPr>
          <w:noProof/>
        </w:rPr>
        <w:tab/>
      </w:r>
      <w:r>
        <w:rPr>
          <w:noProof/>
        </w:rPr>
        <w:fldChar w:fldCharType="begin"/>
      </w:r>
      <w:r>
        <w:rPr>
          <w:noProof/>
        </w:rPr>
        <w:instrText xml:space="preserve"> PAGEREF _Toc430943790 \h </w:instrText>
      </w:r>
      <w:r>
        <w:rPr>
          <w:noProof/>
        </w:rPr>
      </w:r>
      <w:r>
        <w:rPr>
          <w:noProof/>
        </w:rPr>
        <w:fldChar w:fldCharType="separate"/>
      </w:r>
      <w:r>
        <w:rPr>
          <w:noProof/>
        </w:rPr>
        <w:t>6</w:t>
      </w:r>
      <w:r>
        <w:rPr>
          <w:noProof/>
        </w:rPr>
        <w:fldChar w:fldCharType="end"/>
      </w:r>
    </w:p>
    <w:p w14:paraId="288F8390"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unrelated samples (robust GRM)</w:t>
      </w:r>
      <w:r>
        <w:rPr>
          <w:noProof/>
        </w:rPr>
        <w:tab/>
      </w:r>
      <w:r>
        <w:rPr>
          <w:noProof/>
        </w:rPr>
        <w:fldChar w:fldCharType="begin"/>
      </w:r>
      <w:r>
        <w:rPr>
          <w:noProof/>
        </w:rPr>
        <w:instrText xml:space="preserve"> PAGEREF _Toc430943791 \h </w:instrText>
      </w:r>
      <w:r>
        <w:rPr>
          <w:noProof/>
        </w:rPr>
      </w:r>
      <w:r>
        <w:rPr>
          <w:noProof/>
        </w:rPr>
        <w:fldChar w:fldCharType="separate"/>
      </w:r>
      <w:r>
        <w:rPr>
          <w:noProof/>
        </w:rPr>
        <w:t>7</w:t>
      </w:r>
      <w:r>
        <w:rPr>
          <w:noProof/>
        </w:rPr>
        <w:fldChar w:fldCharType="end"/>
      </w:r>
    </w:p>
    <w:p w14:paraId="24B6F904" w14:textId="77777777" w:rsidR="00495099" w:rsidRDefault="00495099">
      <w:pPr>
        <w:pStyle w:val="TOC3"/>
        <w:tabs>
          <w:tab w:val="right" w:leader="dot" w:pos="10450"/>
        </w:tabs>
        <w:rPr>
          <w:noProof/>
          <w:sz w:val="24"/>
          <w:szCs w:val="24"/>
          <w:lang w:val="en-US" w:eastAsia="ja-JP"/>
        </w:rPr>
      </w:pPr>
      <w:r w:rsidRPr="00945843">
        <w:rPr>
          <w:noProof/>
          <w:lang w:val="en-US" w:eastAsia="zh-CN"/>
        </w:rPr>
        <w:t>Dominance SNP-heritability</w:t>
      </w:r>
      <w:r>
        <w:rPr>
          <w:noProof/>
        </w:rPr>
        <w:tab/>
      </w:r>
      <w:r>
        <w:rPr>
          <w:noProof/>
        </w:rPr>
        <w:fldChar w:fldCharType="begin"/>
      </w:r>
      <w:r>
        <w:rPr>
          <w:noProof/>
        </w:rPr>
        <w:instrText xml:space="preserve"> PAGEREF _Toc430943792 \h </w:instrText>
      </w:r>
      <w:r>
        <w:rPr>
          <w:noProof/>
        </w:rPr>
      </w:r>
      <w:r>
        <w:rPr>
          <w:noProof/>
        </w:rPr>
        <w:fldChar w:fldCharType="separate"/>
      </w:r>
      <w:r>
        <w:rPr>
          <w:noProof/>
        </w:rPr>
        <w:t>7</w:t>
      </w:r>
      <w:r>
        <w:rPr>
          <w:noProof/>
        </w:rPr>
        <w:fldChar w:fldCharType="end"/>
      </w:r>
    </w:p>
    <w:p w14:paraId="1A7BCFCB"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 xml:space="preserve">Estimator II </w:t>
      </w:r>
      <m:oMath>
        <m:r>
          <m:rPr>
            <m:sty m:val="bi"/>
          </m:rPr>
          <w:rPr>
            <w:rFonts w:ascii="Cambria Math" w:hAnsi="Cambria Math"/>
            <w:noProof/>
            <w:lang w:val="en-US" w:eastAsia="zh-CN"/>
          </w:rPr>
          <m:t>hped</m:t>
        </m:r>
        <m:r>
          <m:rPr>
            <m:sty m:val="bi"/>
          </m:rPr>
          <w:rPr>
            <w:rFonts w:ascii="Cambria Math" w:hAnsi="Cambria Math"/>
            <w:noProof/>
            <w:lang w:val="en-US" w:eastAsia="zh-CN"/>
          </w:rPr>
          <m:t>2</m:t>
        </m:r>
      </m:oMath>
      <w:r w:rsidRPr="00945843">
        <w:rPr>
          <w:noProof/>
          <w:lang w:val="en-US" w:eastAsia="zh-CN"/>
        </w:rPr>
        <w:t>: SNP-heritability for linkage analysis – sib pair design</w:t>
      </w:r>
      <w:r>
        <w:rPr>
          <w:noProof/>
        </w:rPr>
        <w:tab/>
      </w:r>
      <w:r>
        <w:rPr>
          <w:noProof/>
        </w:rPr>
        <w:fldChar w:fldCharType="begin"/>
      </w:r>
      <w:r>
        <w:rPr>
          <w:noProof/>
        </w:rPr>
        <w:instrText xml:space="preserve"> PAGEREF _Toc430943793 \h </w:instrText>
      </w:r>
      <w:r>
        <w:rPr>
          <w:noProof/>
        </w:rPr>
      </w:r>
      <w:r>
        <w:rPr>
          <w:noProof/>
        </w:rPr>
        <w:fldChar w:fldCharType="separate"/>
      </w:r>
      <w:r>
        <w:rPr>
          <w:noProof/>
        </w:rPr>
        <w:t>8</w:t>
      </w:r>
      <w:r>
        <w:rPr>
          <w:noProof/>
        </w:rPr>
        <w:fldChar w:fldCharType="end"/>
      </w:r>
    </w:p>
    <w:p w14:paraId="1ADF6136"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sibling in linkage analysis</w:t>
      </w:r>
      <w:r>
        <w:rPr>
          <w:noProof/>
        </w:rPr>
        <w:tab/>
      </w:r>
      <w:r>
        <w:rPr>
          <w:noProof/>
        </w:rPr>
        <w:fldChar w:fldCharType="begin"/>
      </w:r>
      <w:r>
        <w:rPr>
          <w:noProof/>
        </w:rPr>
        <w:instrText xml:space="preserve"> PAGEREF _Toc430943794 \h </w:instrText>
      </w:r>
      <w:r>
        <w:rPr>
          <w:noProof/>
        </w:rPr>
      </w:r>
      <w:r>
        <w:rPr>
          <w:noProof/>
        </w:rPr>
        <w:fldChar w:fldCharType="separate"/>
      </w:r>
      <w:r>
        <w:rPr>
          <w:noProof/>
        </w:rPr>
        <w:t>8</w:t>
      </w:r>
      <w:r>
        <w:rPr>
          <w:noProof/>
        </w:rPr>
        <w:fldChar w:fldCharType="end"/>
      </w:r>
    </w:p>
    <w:p w14:paraId="06A10C84" w14:textId="77777777" w:rsidR="00495099" w:rsidRDefault="00495099">
      <w:pPr>
        <w:pStyle w:val="TOC3"/>
        <w:tabs>
          <w:tab w:val="right" w:leader="dot" w:pos="10450"/>
        </w:tabs>
        <w:rPr>
          <w:noProof/>
          <w:sz w:val="24"/>
          <w:szCs w:val="24"/>
          <w:lang w:val="en-US" w:eastAsia="ja-JP"/>
        </w:rPr>
      </w:pPr>
      <w:r w:rsidRPr="00945843">
        <w:rPr>
          <w:noProof/>
          <w:lang w:val="en-US" w:eastAsia="zh-CN"/>
        </w:rPr>
        <w:t>Dominance SNP-heritability for sib pair design</w:t>
      </w:r>
      <w:r>
        <w:rPr>
          <w:noProof/>
        </w:rPr>
        <w:tab/>
      </w:r>
      <w:r>
        <w:rPr>
          <w:noProof/>
        </w:rPr>
        <w:fldChar w:fldCharType="begin"/>
      </w:r>
      <w:r>
        <w:rPr>
          <w:noProof/>
        </w:rPr>
        <w:instrText xml:space="preserve"> PAGEREF _Toc430943795 \h </w:instrText>
      </w:r>
      <w:r>
        <w:rPr>
          <w:noProof/>
        </w:rPr>
      </w:r>
      <w:r>
        <w:rPr>
          <w:noProof/>
        </w:rPr>
        <w:fldChar w:fldCharType="separate"/>
      </w:r>
      <w:r>
        <w:rPr>
          <w:noProof/>
        </w:rPr>
        <w:t>11</w:t>
      </w:r>
      <w:r>
        <w:rPr>
          <w:noProof/>
        </w:rPr>
        <w:fldChar w:fldCharType="end"/>
      </w:r>
    </w:p>
    <w:p w14:paraId="6B69EAC2"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Relationship between IBD and IBS (not finished yet)</w:t>
      </w:r>
      <w:r>
        <w:rPr>
          <w:noProof/>
        </w:rPr>
        <w:tab/>
      </w:r>
      <w:r>
        <w:rPr>
          <w:noProof/>
        </w:rPr>
        <w:fldChar w:fldCharType="begin"/>
      </w:r>
      <w:r>
        <w:rPr>
          <w:noProof/>
        </w:rPr>
        <w:instrText xml:space="preserve"> PAGEREF _Toc430943796 \h </w:instrText>
      </w:r>
      <w:r>
        <w:rPr>
          <w:noProof/>
        </w:rPr>
      </w:r>
      <w:r>
        <w:rPr>
          <w:noProof/>
        </w:rPr>
        <w:fldChar w:fldCharType="separate"/>
      </w:r>
      <w:r>
        <w:rPr>
          <w:noProof/>
        </w:rPr>
        <w:t>11</w:t>
      </w:r>
      <w:r>
        <w:rPr>
          <w:noProof/>
        </w:rPr>
        <w:fldChar w:fldCharType="end"/>
      </w:r>
    </w:p>
    <w:p w14:paraId="59600744"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Genetic architecture</w:t>
      </w:r>
      <w:r>
        <w:rPr>
          <w:noProof/>
        </w:rPr>
        <w:tab/>
      </w:r>
      <w:r>
        <w:rPr>
          <w:noProof/>
        </w:rPr>
        <w:fldChar w:fldCharType="begin"/>
      </w:r>
      <w:r>
        <w:rPr>
          <w:noProof/>
        </w:rPr>
        <w:instrText xml:space="preserve"> PAGEREF _Toc430943797 \h </w:instrText>
      </w:r>
      <w:r>
        <w:rPr>
          <w:noProof/>
        </w:rPr>
      </w:r>
      <w:r>
        <w:rPr>
          <w:noProof/>
        </w:rPr>
        <w:fldChar w:fldCharType="separate"/>
      </w:r>
      <w:r>
        <w:rPr>
          <w:noProof/>
        </w:rPr>
        <w:t>11</w:t>
      </w:r>
      <w:r>
        <w:rPr>
          <w:noProof/>
        </w:rPr>
        <w:fldChar w:fldCharType="end"/>
      </w:r>
    </w:p>
    <w:p w14:paraId="5403A008" w14:textId="77777777" w:rsidR="00495099" w:rsidRDefault="00495099">
      <w:pPr>
        <w:pStyle w:val="TOC3"/>
        <w:tabs>
          <w:tab w:val="right" w:leader="dot" w:pos="10450"/>
        </w:tabs>
        <w:rPr>
          <w:noProof/>
          <w:sz w:val="24"/>
          <w:szCs w:val="24"/>
          <w:lang w:val="en-US" w:eastAsia="ja-JP"/>
        </w:rPr>
      </w:pPr>
      <w:r w:rsidRPr="00945843">
        <w:rPr>
          <w:noProof/>
          <w:lang w:val="en-US" w:eastAsia="zh-CN"/>
        </w:rPr>
        <w:t>Infinitesimal model</w:t>
      </w:r>
      <w:r>
        <w:rPr>
          <w:noProof/>
        </w:rPr>
        <w:tab/>
      </w:r>
      <w:r>
        <w:rPr>
          <w:noProof/>
        </w:rPr>
        <w:fldChar w:fldCharType="begin"/>
      </w:r>
      <w:r>
        <w:rPr>
          <w:noProof/>
        </w:rPr>
        <w:instrText xml:space="preserve"> PAGEREF _Toc430943798 \h </w:instrText>
      </w:r>
      <w:r>
        <w:rPr>
          <w:noProof/>
        </w:rPr>
      </w:r>
      <w:r>
        <w:rPr>
          <w:noProof/>
        </w:rPr>
        <w:fldChar w:fldCharType="separate"/>
      </w:r>
      <w:r>
        <w:rPr>
          <w:noProof/>
        </w:rPr>
        <w:t>11</w:t>
      </w:r>
      <w:r>
        <w:rPr>
          <w:noProof/>
        </w:rPr>
        <w:fldChar w:fldCharType="end"/>
      </w:r>
    </w:p>
    <w:p w14:paraId="2A1F3510" w14:textId="77777777" w:rsidR="00495099" w:rsidRDefault="00495099">
      <w:pPr>
        <w:pStyle w:val="TOC3"/>
        <w:tabs>
          <w:tab w:val="right" w:leader="dot" w:pos="10450"/>
        </w:tabs>
        <w:rPr>
          <w:noProof/>
          <w:sz w:val="24"/>
          <w:szCs w:val="24"/>
          <w:lang w:val="en-US" w:eastAsia="ja-JP"/>
        </w:rPr>
      </w:pPr>
      <w:r w:rsidRPr="00945843">
        <w:rPr>
          <w:noProof/>
          <w:lang w:val="en-US" w:eastAsia="zh-CN"/>
        </w:rPr>
        <w:t>Local structure</w:t>
      </w:r>
      <w:r>
        <w:rPr>
          <w:noProof/>
        </w:rPr>
        <w:tab/>
      </w:r>
      <w:r>
        <w:rPr>
          <w:noProof/>
        </w:rPr>
        <w:fldChar w:fldCharType="begin"/>
      </w:r>
      <w:r>
        <w:rPr>
          <w:noProof/>
        </w:rPr>
        <w:instrText xml:space="preserve"> PAGEREF _Toc430943799 \h </w:instrText>
      </w:r>
      <w:r>
        <w:rPr>
          <w:noProof/>
        </w:rPr>
      </w:r>
      <w:r>
        <w:rPr>
          <w:noProof/>
        </w:rPr>
        <w:fldChar w:fldCharType="separate"/>
      </w:r>
      <w:r>
        <w:rPr>
          <w:noProof/>
        </w:rPr>
        <w:t>12</w:t>
      </w:r>
      <w:r>
        <w:rPr>
          <w:noProof/>
        </w:rPr>
        <w:fldChar w:fldCharType="end"/>
      </w:r>
    </w:p>
    <w:p w14:paraId="0A437EB5" w14:textId="77777777" w:rsidR="00495099" w:rsidRDefault="00495099">
      <w:pPr>
        <w:pStyle w:val="TOC1"/>
        <w:tabs>
          <w:tab w:val="right" w:leader="dot" w:pos="10450"/>
        </w:tabs>
        <w:rPr>
          <w:b w:val="0"/>
          <w:noProof/>
          <w:lang w:val="en-US" w:eastAsia="ja-JP"/>
        </w:rPr>
      </w:pPr>
      <w:r w:rsidRPr="00945843">
        <w:rPr>
          <w:noProof/>
          <w:lang w:val="en-US" w:eastAsia="zh-CN"/>
        </w:rPr>
        <w:t>Results</w:t>
      </w:r>
      <w:r>
        <w:rPr>
          <w:noProof/>
        </w:rPr>
        <w:tab/>
      </w:r>
      <w:r>
        <w:rPr>
          <w:noProof/>
        </w:rPr>
        <w:fldChar w:fldCharType="begin"/>
      </w:r>
      <w:r>
        <w:rPr>
          <w:noProof/>
        </w:rPr>
        <w:instrText xml:space="preserve"> PAGEREF _Toc430943800 \h </w:instrText>
      </w:r>
      <w:r>
        <w:rPr>
          <w:noProof/>
        </w:rPr>
      </w:r>
      <w:r>
        <w:rPr>
          <w:noProof/>
        </w:rPr>
        <w:fldChar w:fldCharType="separate"/>
      </w:r>
      <w:r>
        <w:rPr>
          <w:noProof/>
        </w:rPr>
        <w:t>13</w:t>
      </w:r>
      <w:r>
        <w:rPr>
          <w:noProof/>
        </w:rPr>
        <w:fldChar w:fldCharType="end"/>
      </w:r>
    </w:p>
    <w:p w14:paraId="5A609BB3"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Simulation</w:t>
      </w:r>
      <w:r>
        <w:rPr>
          <w:noProof/>
        </w:rPr>
        <w:tab/>
      </w:r>
      <w:r>
        <w:rPr>
          <w:noProof/>
        </w:rPr>
        <w:fldChar w:fldCharType="begin"/>
      </w:r>
      <w:r>
        <w:rPr>
          <w:noProof/>
        </w:rPr>
        <w:instrText xml:space="preserve"> PAGEREF _Toc430943801 \h </w:instrText>
      </w:r>
      <w:r>
        <w:rPr>
          <w:noProof/>
        </w:rPr>
      </w:r>
      <w:r>
        <w:rPr>
          <w:noProof/>
        </w:rPr>
        <w:fldChar w:fldCharType="separate"/>
      </w:r>
      <w:r>
        <w:rPr>
          <w:noProof/>
        </w:rPr>
        <w:t>13</w:t>
      </w:r>
      <w:r>
        <w:rPr>
          <w:noProof/>
        </w:rPr>
        <w:fldChar w:fldCharType="end"/>
      </w:r>
    </w:p>
    <w:p w14:paraId="474219D6" w14:textId="77777777" w:rsidR="00495099" w:rsidRDefault="00495099">
      <w:pPr>
        <w:pStyle w:val="TOC1"/>
        <w:tabs>
          <w:tab w:val="right" w:leader="dot" w:pos="10450"/>
        </w:tabs>
        <w:rPr>
          <w:b w:val="0"/>
          <w:noProof/>
          <w:lang w:val="en-US" w:eastAsia="ja-JP"/>
        </w:rPr>
      </w:pPr>
      <w:r w:rsidRPr="00945843">
        <w:rPr>
          <w:noProof/>
          <w:lang w:val="en-US" w:eastAsia="zh-CN"/>
        </w:rPr>
        <w:t>Discussion</w:t>
      </w:r>
      <w:r>
        <w:rPr>
          <w:noProof/>
        </w:rPr>
        <w:tab/>
      </w:r>
      <w:r>
        <w:rPr>
          <w:noProof/>
        </w:rPr>
        <w:fldChar w:fldCharType="begin"/>
      </w:r>
      <w:r>
        <w:rPr>
          <w:noProof/>
        </w:rPr>
        <w:instrText xml:space="preserve"> PAGEREF _Toc430943802 \h </w:instrText>
      </w:r>
      <w:r>
        <w:rPr>
          <w:noProof/>
        </w:rPr>
      </w:r>
      <w:r>
        <w:rPr>
          <w:noProof/>
        </w:rPr>
        <w:fldChar w:fldCharType="separate"/>
      </w:r>
      <w:r>
        <w:rPr>
          <w:noProof/>
        </w:rPr>
        <w:t>15</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943784"/>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943785"/>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w:t>
      </w:r>
      <w:proofErr w:type="spellStart"/>
      <w:r w:rsidRPr="007F193D">
        <w:rPr>
          <w:sz w:val="20"/>
          <w:szCs w:val="20"/>
          <w:lang w:val="en-US" w:eastAsia="zh-CN"/>
        </w:rPr>
        <w:t>hough</w:t>
      </w:r>
      <w:proofErr w:type="spellEnd"/>
      <w:r w:rsidRPr="007F193D">
        <w:rPr>
          <w:sz w:val="20"/>
          <w:szCs w:val="20"/>
          <w:lang w:val="en-US" w:eastAsia="zh-CN"/>
        </w:rPr>
        <w:t xml:space="preserve">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943786"/>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943787"/>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xml:space="preserve">, its genetic effect can be partitioned into additive and dominance effects, ignoring </w:t>
      </w:r>
      <w:proofErr w:type="spellStart"/>
      <w:r w:rsidRPr="007F193D">
        <w:rPr>
          <w:sz w:val="20"/>
          <w:szCs w:val="20"/>
          <w:lang w:val="en-US" w:eastAsia="zh-CN"/>
        </w:rPr>
        <w:t>epistatsis</w:t>
      </w:r>
      <w:proofErr w:type="spellEnd"/>
      <w:r w:rsidRPr="007F193D">
        <w:rPr>
          <w:sz w:val="20"/>
          <w:szCs w:val="20"/>
          <w:lang w:val="en-US" w:eastAsia="zh-CN"/>
        </w:rPr>
        <w:t>.</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E336D1"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E336D1"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w:t>
      </w:r>
      <w:proofErr w:type="spellStart"/>
      <w:r w:rsidR="0003343E" w:rsidRPr="007F193D">
        <w:rPr>
          <w:sz w:val="20"/>
          <w:szCs w:val="20"/>
          <w:lang w:val="en-US" w:eastAsia="zh-CN"/>
        </w:rPr>
        <w:t>ity</w:t>
      </w:r>
      <w:proofErr w:type="spellEnd"/>
      <w:r w:rsidR="0003343E" w:rsidRPr="007F193D">
        <w:rPr>
          <w:sz w:val="20"/>
          <w:szCs w:val="20"/>
          <w:lang w:val="en-US" w:eastAsia="zh-CN"/>
        </w:rPr>
        <w:t xml:space="preserve">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943788"/>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7CC0F26F"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proofErr w:type="spellStart"/>
      <w:r w:rsidR="00D55FBE">
        <w:rPr>
          <w:rFonts w:cs="Times New Roman"/>
          <w:sz w:val="20"/>
          <w:szCs w:val="20"/>
        </w:rPr>
        <w:t>ents</w:t>
      </w:r>
      <w:proofErr w:type="spellEnd"/>
      <w:r w:rsidR="00D55FBE">
        <w:rPr>
          <w:rFonts w:cs="Times New Roman"/>
          <w:sz w:val="20"/>
          <w:szCs w:val="20"/>
        </w:rPr>
        <w:t>.</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DF4A68">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943789"/>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17F76E62" w:rsidR="00C313C8" w:rsidRPr="00C313C8" w:rsidRDefault="00C70C9C" w:rsidP="00C313C8">
      <w:pPr>
        <w:pStyle w:val="Heading3"/>
        <w:rPr>
          <w:sz w:val="26"/>
          <w:szCs w:val="26"/>
          <w:lang w:val="en-US" w:eastAsia="zh-CN"/>
        </w:rPr>
      </w:pPr>
      <w:bookmarkStart w:id="6" w:name="_Toc430943790"/>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t>
      </w:r>
      <w:r w:rsidR="00867D57">
        <w:rPr>
          <w:lang w:val="en-US" w:eastAsia="zh-CN"/>
        </w:rPr>
        <w:t>classic GRM</w:t>
      </w:r>
      <w:r w:rsidR="00861AEB">
        <w:rPr>
          <w:lang w:val="en-US" w:eastAsia="zh-CN"/>
        </w:rPr>
        <w:t>)</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E336D1"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E336D1"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E336D1"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E336D1"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475D274C" w:rsidR="00861AEB" w:rsidRPr="00C313C8" w:rsidRDefault="00861AEB" w:rsidP="00861AEB">
      <w:pPr>
        <w:pStyle w:val="Heading3"/>
        <w:rPr>
          <w:sz w:val="26"/>
          <w:szCs w:val="26"/>
          <w:lang w:val="en-US" w:eastAsia="zh-CN"/>
        </w:rPr>
      </w:pPr>
      <w:bookmarkStart w:id="7" w:name="_Toc430943791"/>
      <w:r>
        <w:rPr>
          <w:lang w:val="en-US" w:eastAsia="zh-CN"/>
        </w:rPr>
        <w:t>Additive SNP-heritability for</w:t>
      </w:r>
      <w:r w:rsidR="00867D57">
        <w:rPr>
          <w:lang w:val="en-US" w:eastAsia="zh-CN"/>
        </w:rPr>
        <w:t xml:space="preserve"> unrelated samples (robust GRM</w:t>
      </w:r>
      <w:r>
        <w:rPr>
          <w:lang w:val="en-US" w:eastAsia="zh-CN"/>
        </w:rPr>
        <w:t>)</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483974B1" w:rsidR="00BF12EF" w:rsidRPr="00D26798" w:rsidRDefault="00E336D1"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sSup>
              <m:sSupPr>
                <m:ctrlPr>
                  <w:rPr>
                    <w:rFonts w:ascii="Cambria Math" w:hAnsi="Cambria Math" w:cs="Times New Roman"/>
                    <w:i/>
                    <w:sz w:val="20"/>
                    <w:szCs w:val="20"/>
                    <w:lang w:val="en-US"/>
                  </w:rPr>
                </m:ctrlPr>
              </m:sSupPr>
              <m:e>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e>
              <m:sup>
                <m:r>
                  <w:rPr>
                    <w:rFonts w:ascii="Cambria Math" w:hAnsi="Cambria Math" w:cs="Times New Roman"/>
                    <w:sz w:val="20"/>
                    <w:szCs w:val="20"/>
                    <w:lang w:val="en-US"/>
                  </w:rPr>
                  <m:t>2</m:t>
                </m:r>
              </m:sup>
            </m:sSup>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E336D1"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943792"/>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E336D1"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E336D1"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E336D1"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E336D1"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E336D1"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943793"/>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943794"/>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E336D1"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w:t>
      </w:r>
      <w:proofErr w:type="spellStart"/>
      <w:r w:rsidR="00473A34">
        <w:rPr>
          <w:sz w:val="20"/>
          <w:szCs w:val="20"/>
          <w:lang w:val="en-US" w:eastAsia="zh-CN"/>
        </w:rPr>
        <w:t>Eq</w:t>
      </w:r>
      <w:proofErr w:type="spellEnd"/>
      <w:r w:rsidR="00473A34">
        <w:rPr>
          <w:sz w:val="20"/>
          <w:szCs w:val="20"/>
          <w:lang w:val="en-US" w:eastAsia="zh-CN"/>
        </w:rPr>
        <w:t xml:space="preserve">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 xml:space="preserve">please refer to </w:t>
      </w:r>
      <w:proofErr w:type="spellStart"/>
      <w:r w:rsidRPr="007F51CE">
        <w:rPr>
          <w:rFonts w:cs="Times New Roman"/>
          <w:sz w:val="20"/>
          <w:szCs w:val="20"/>
          <w:lang w:val="en-US"/>
        </w:rPr>
        <w:t>Eq</w:t>
      </w:r>
      <w:proofErr w:type="spellEnd"/>
      <w:r w:rsidRPr="007F51CE">
        <w:rPr>
          <w:rFonts w:cs="Times New Roman"/>
          <w:sz w:val="20"/>
          <w:szCs w:val="20"/>
          <w:lang w:val="en-US"/>
        </w:rPr>
        <w:t xml:space="preserve">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proofErr w:type="spellStart"/>
      <w:r w:rsidR="00203635">
        <w:rPr>
          <w:rFonts w:cs="Times New Roman"/>
          <w:sz w:val="20"/>
          <w:szCs w:val="20"/>
          <w:lang w:val="en-US"/>
        </w:rPr>
        <w:t>Eq</w:t>
      </w:r>
      <w:proofErr w:type="spellEnd"/>
      <w:r w:rsidR="00203635">
        <w:rPr>
          <w:rFonts w:cs="Times New Roman"/>
          <w:sz w:val="20"/>
          <w:szCs w:val="20"/>
          <w:lang w:val="en-US"/>
        </w:rPr>
        <w:t xml:space="preserve"> 12 is a generalization for </w:t>
      </w:r>
      <w:proofErr w:type="spellStart"/>
      <w:r w:rsidR="00203635">
        <w:rPr>
          <w:rFonts w:cs="Times New Roman"/>
          <w:sz w:val="20"/>
          <w:szCs w:val="20"/>
          <w:lang w:val="en-US"/>
        </w:rPr>
        <w:t>Eq</w:t>
      </w:r>
      <w:proofErr w:type="spellEnd"/>
      <w:r w:rsidR="00203635">
        <w:rPr>
          <w:rFonts w:cs="Times New Roman"/>
          <w:sz w:val="20"/>
          <w:szCs w:val="20"/>
          <w:lang w:val="en-US"/>
        </w:rPr>
        <w:t xml:space="preserve"> 11 but is reduced to </w:t>
      </w:r>
      <w:proofErr w:type="spellStart"/>
      <w:r w:rsidR="00203635">
        <w:rPr>
          <w:rFonts w:cs="Times New Roman"/>
          <w:sz w:val="20"/>
          <w:szCs w:val="20"/>
          <w:lang w:val="en-US"/>
        </w:rPr>
        <w:t>Eq</w:t>
      </w:r>
      <w:proofErr w:type="spellEnd"/>
      <w:r w:rsidR="00203635">
        <w:rPr>
          <w:rFonts w:cs="Times New Roman"/>
          <w:sz w:val="20"/>
          <w:szCs w:val="20"/>
          <w:lang w:val="en-US"/>
        </w:rPr>
        <w:t xml:space="preserve">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E336D1"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w:t>
      </w:r>
      <w:proofErr w:type="spellStart"/>
      <w:r w:rsidR="00203635">
        <w:rPr>
          <w:b/>
          <w:sz w:val="20"/>
          <w:szCs w:val="20"/>
          <w:lang w:val="en-US" w:eastAsia="zh-CN"/>
        </w:rPr>
        <w:t>Eq</w:t>
      </w:r>
      <w:proofErr w:type="spellEnd"/>
      <w:r w:rsidR="00203635">
        <w:rPr>
          <w:b/>
          <w:sz w:val="20"/>
          <w:szCs w:val="20"/>
          <w:lang w:val="en-US" w:eastAsia="zh-CN"/>
        </w:rPr>
        <w:t xml:space="preserve">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E336D1"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316EC795" w:rsidR="00B80114" w:rsidRDefault="00A91F85" w:rsidP="00272EEC">
      <w:pPr>
        <w:spacing w:line="480" w:lineRule="auto"/>
        <w:rPr>
          <w:sz w:val="20"/>
          <w:szCs w:val="20"/>
          <w:lang w:val="en-US" w:eastAsia="zh-CN"/>
        </w:rPr>
      </w:pPr>
      <w:r>
        <w:rPr>
          <w:sz w:val="20"/>
          <w:szCs w:val="20"/>
          <w:lang w:val="en-US" w:eastAsia="zh-CN"/>
        </w:rPr>
        <w:t xml:space="preserve">Obviously, </w:t>
      </w:r>
      <w:r w:rsidR="004D42C9">
        <w:rPr>
          <w:sz w:val="20"/>
          <w:szCs w:val="20"/>
          <w:lang w:val="en-US" w:eastAsia="zh-CN"/>
        </w:rPr>
        <w:t>the</w:t>
      </w:r>
      <w:r w:rsidR="0023077C">
        <w:rPr>
          <w:sz w:val="20"/>
          <w:szCs w:val="20"/>
          <w:lang w:val="en-US" w:eastAsia="zh-CN"/>
        </w:rPr>
        <w:t xml:space="preserve"> denominator can be expressed as below,</w:t>
      </w:r>
    </w:p>
    <w:p w14:paraId="05BA3757" w14:textId="62B9D421" w:rsidR="00B80114" w:rsidRDefault="00E336D1"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E336D1"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00BD2706"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1E220A">
        <w:rPr>
          <w:sz w:val="20"/>
          <w:szCs w:val="20"/>
          <w:lang w:val="en-US" w:eastAsia="zh-CN"/>
        </w:rPr>
        <w:t xml:space="preserve"> can be further specified</w:t>
      </w:r>
      <w:r w:rsidR="007F1F48">
        <w:rPr>
          <w:sz w:val="20"/>
          <w:szCs w:val="20"/>
          <w:lang w:val="en-US" w:eastAsia="zh-CN"/>
        </w:rPr>
        <w:t xml:space="preserve">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0943795"/>
      <w:r>
        <w:rPr>
          <w:lang w:val="en-US" w:eastAsia="zh-CN"/>
        </w:rPr>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E336D1"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E336D1"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387EE4FB" w14:textId="74F2F985" w:rsidR="00E150BF" w:rsidRDefault="00E150BF" w:rsidP="00E150BF">
      <w:pPr>
        <w:pStyle w:val="Heading2"/>
        <w:rPr>
          <w:lang w:val="en-US" w:eastAsia="zh-CN"/>
        </w:rPr>
      </w:pPr>
      <w:bookmarkStart w:id="12" w:name="_Toc430943796"/>
      <w:r>
        <w:rPr>
          <w:lang w:val="en-US" w:eastAsia="zh-CN"/>
        </w:rPr>
        <w:t>Relationship between IBD and IBS (not finished yet)</w:t>
      </w:r>
      <w:bookmarkEnd w:id="12"/>
    </w:p>
    <w:p w14:paraId="413DC1A7" w14:textId="54A7389A" w:rsidR="00E150BF" w:rsidRDefault="00D1086F" w:rsidP="00116290">
      <w:pPr>
        <w:spacing w:line="360" w:lineRule="auto"/>
        <w:rPr>
          <w:sz w:val="20"/>
          <w:szCs w:val="20"/>
          <w:lang w:val="en-US" w:eastAsia="zh-CN"/>
        </w:rPr>
      </w:pPr>
      <w:r>
        <w:rPr>
          <w:rFonts w:hint="eastAsia"/>
          <w:sz w:val="20"/>
          <w:szCs w:val="20"/>
          <w:lang w:val="en-US" w:eastAsia="zh-CN"/>
        </w:rPr>
        <w:t xml:space="preserve">Although </w:t>
      </w:r>
      <w:r w:rsidR="009B6420">
        <w:rPr>
          <w:rFonts w:hint="eastAsia"/>
          <w:sz w:val="20"/>
          <w:szCs w:val="20"/>
          <w:lang w:val="en-US" w:eastAsia="zh-CN"/>
        </w:rPr>
        <w:t xml:space="preserve">IBS is suggested for unrelated samples, </w:t>
      </w:r>
      <w:r>
        <w:rPr>
          <w:sz w:val="20"/>
          <w:szCs w:val="20"/>
          <w:lang w:val="en-US" w:eastAsia="zh-CN"/>
        </w:rPr>
        <w:t xml:space="preserve">it is easy to derive </w:t>
      </w:r>
      <w:r>
        <w:rPr>
          <w:rFonts w:hint="eastAsia"/>
          <w:sz w:val="20"/>
          <w:szCs w:val="20"/>
          <w:lang w:val="en-US" w:eastAsia="zh-CN"/>
        </w:rPr>
        <w:t xml:space="preserve">their </w:t>
      </w:r>
      <w:r>
        <w:rPr>
          <w:sz w:val="20"/>
          <w:szCs w:val="20"/>
          <w:lang w:val="en-US" w:eastAsia="zh-CN"/>
        </w:rPr>
        <w:t>corresponding</w:t>
      </w:r>
      <w:r>
        <w:rPr>
          <w:rFonts w:hint="eastAsia"/>
          <w:sz w:val="20"/>
          <w:szCs w:val="20"/>
          <w:lang w:val="en-US" w:eastAsia="zh-CN"/>
        </w:rPr>
        <w:t xml:space="preserve"> IBS</w:t>
      </w:r>
      <w:r w:rsidR="009B6420">
        <w:rPr>
          <w:rFonts w:hint="eastAsia"/>
          <w:sz w:val="20"/>
          <w:szCs w:val="20"/>
          <w:lang w:val="en-US" w:eastAsia="zh-CN"/>
        </w:rPr>
        <w:t xml:space="preserve"> and fit into the HE </w:t>
      </w:r>
      <w:r w:rsidR="009B6420">
        <w:rPr>
          <w:sz w:val="20"/>
          <w:szCs w:val="20"/>
          <w:lang w:val="en-US" w:eastAsia="zh-CN"/>
        </w:rPr>
        <w:t>regression</w:t>
      </w:r>
      <w:r w:rsidR="009B6420">
        <w:rPr>
          <w:rFonts w:hint="eastAsia"/>
          <w:sz w:val="20"/>
          <w:szCs w:val="20"/>
          <w:lang w:val="en-US" w:eastAsia="zh-CN"/>
        </w:rPr>
        <w:t xml:space="preserve">. </w:t>
      </w:r>
      <w:r w:rsidR="00B42F7F">
        <w:rPr>
          <w:sz w:val="20"/>
          <w:szCs w:val="20"/>
          <w:lang w:val="en-US" w:eastAsia="zh-CN"/>
        </w:rPr>
        <w:t xml:space="preserve">We fit the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ped,IBS</m:t>
            </m:r>
          </m:sub>
        </m:sSub>
      </m:oMath>
      <w:r w:rsidR="00B42F7F">
        <w:rPr>
          <w:sz w:val="20"/>
          <w:szCs w:val="20"/>
          <w:lang w:val="en-US" w:eastAsia="zh-CN"/>
        </w:rPr>
        <w:t xml:space="preserve"> into</w:t>
      </w:r>
      <w:r w:rsidR="00602CF9">
        <w:rPr>
          <w:sz w:val="20"/>
          <w:szCs w:val="20"/>
          <w:lang w:val="en-US" w:eastAsia="zh-CN"/>
        </w:rPr>
        <w:t xml:space="preserve"> the HE regression, we have the expectation of the regression coefficient as</w:t>
      </w:r>
    </w:p>
    <w:p w14:paraId="656451E9" w14:textId="2792EB2F" w:rsidR="00602CF9" w:rsidRPr="00C24183" w:rsidRDefault="00602CF9" w:rsidP="00116290">
      <w:pPr>
        <w:spacing w:line="360" w:lineRule="auto"/>
        <w:rPr>
          <w:sz w:val="20"/>
          <w:szCs w:val="20"/>
          <w:lang w:val="en-US" w:eastAsia="zh-CN"/>
        </w:rPr>
      </w:pPr>
      <m:oMathPara>
        <m:oMath>
          <m:r>
            <w:rPr>
              <w:rFonts w:ascii="Cambria Math" w:hAnsi="Cambria Math"/>
              <w:sz w:val="20"/>
              <w:szCs w:val="20"/>
              <w:lang w:val="en-US" w:eastAsia="zh-CN"/>
            </w:rPr>
            <m:t>E</m:t>
          </m:r>
          <m:d>
            <m:dPr>
              <m:ctrlPr>
                <w:rPr>
                  <w:rFonts w:ascii="Cambria Math" w:hAnsi="Cambria Math"/>
                  <w:i/>
                  <w:sz w:val="20"/>
                  <w:szCs w:val="20"/>
                  <w:lang w:val="en-US" w:eastAsia="zh-CN"/>
                </w:rPr>
              </m:ctrlPr>
            </m:dPr>
            <m:e>
              <m:r>
                <w:rPr>
                  <w:rFonts w:ascii="Cambria Math" w:hAnsi="Cambria Math"/>
                  <w:sz w:val="20"/>
                  <w:szCs w:val="20"/>
                  <w:lang w:val="en-US" w:eastAsia="zh-CN"/>
                </w:rPr>
                <m:t>b</m:t>
              </m:r>
            </m:e>
          </m:d>
          <m:r>
            <w:rPr>
              <w:rFonts w:ascii="Cambria Math" w:hAnsi="Cambria Math"/>
              <w:sz w:val="20"/>
              <w:szCs w:val="20"/>
              <w:lang w:val="en-US" w:eastAsia="zh-CN"/>
            </w:rPr>
            <m:t>=</m:t>
          </m:r>
          <m:r>
            <w:rPr>
              <w:rFonts w:ascii="Cambria Math" w:hAnsi="Cambria Math"/>
              <w:sz w:val="20"/>
              <w:szCs w:val="20"/>
              <w:lang w:val="en-US" w:eastAsia="zh-CN"/>
            </w:rPr>
            <m:t>E</m:t>
          </m:r>
          <m:d>
            <m:dPr>
              <m:ctrlPr>
                <w:rPr>
                  <w:rFonts w:ascii="Cambria Math" w:hAnsi="Cambria Math"/>
                  <w:i/>
                  <w:sz w:val="20"/>
                  <w:szCs w:val="20"/>
                  <w:lang w:val="en-US" w:eastAsia="zh-CN"/>
                </w:rPr>
              </m:ctrlPr>
            </m:dPr>
            <m:e>
              <m:r>
                <m:rPr>
                  <m:scr m:val="script"/>
                </m:rPr>
                <w:rPr>
                  <w:rFonts w:ascii="Cambria Math" w:hAnsi="Cambria Math"/>
                  <w:sz w:val="20"/>
                  <w:szCs w:val="20"/>
                  <w:lang w:val="en-US" w:eastAsia="zh-CN"/>
                </w:rPr>
                <m:t>y</m:t>
              </m:r>
              <m:sSub>
                <m:sSubPr>
                  <m:ctrlPr>
                    <w:rPr>
                      <w:rFonts w:ascii="Cambria Math" w:hAnsi="Cambria Math"/>
                      <w:i/>
                      <w:sz w:val="20"/>
                      <w:szCs w:val="20"/>
                      <w:lang w:val="en-US" w:eastAsia="zh-CN"/>
                    </w:rPr>
                  </m:ctrlPr>
                </m:sSubPr>
                <m:e>
                  <m:r>
                    <w:rPr>
                      <w:rFonts w:ascii="Cambria Math" w:hAnsi="Cambria Math"/>
                      <w:sz w:val="20"/>
                      <w:szCs w:val="20"/>
                      <w:lang w:val="en-US" w:eastAsia="zh-CN"/>
                    </w:rPr>
                    <m:t>Ω</m:t>
                  </m:r>
                </m:e>
                <m:sub>
                  <m:r>
                    <w:rPr>
                      <w:rFonts w:ascii="Cambria Math" w:hAnsi="Cambria Math"/>
                      <w:sz w:val="20"/>
                      <w:szCs w:val="20"/>
                      <w:lang w:val="en-US" w:eastAsia="zh-CN"/>
                    </w:rPr>
                    <m:t>ped.IBS</m:t>
                  </m:r>
                </m:sub>
              </m:sSub>
            </m:e>
          </m:d>
          <m:r>
            <w:rPr>
              <w:rFonts w:ascii="Cambria Math" w:hAnsi="Cambria Math"/>
              <w:sz w:val="20"/>
              <w:szCs w:val="20"/>
              <w:lang w:val="en-US" w:eastAsia="zh-CN"/>
            </w:rPr>
            <m:t>-E</m:t>
          </m:r>
          <m:d>
            <m:dPr>
              <m:ctrlPr>
                <w:rPr>
                  <w:rFonts w:ascii="Cambria Math" w:hAnsi="Cambria Math"/>
                  <w:i/>
                  <w:sz w:val="20"/>
                  <w:szCs w:val="20"/>
                  <w:lang w:val="en-US" w:eastAsia="zh-CN"/>
                </w:rPr>
              </m:ctrlPr>
            </m:dPr>
            <m:e>
              <m:r>
                <m:rPr>
                  <m:scr m:val="script"/>
                </m:rPr>
                <w:rPr>
                  <w:rFonts w:ascii="Cambria Math" w:hAnsi="Cambria Math"/>
                  <w:sz w:val="20"/>
                  <w:szCs w:val="20"/>
                  <w:lang w:val="en-US" w:eastAsia="zh-CN"/>
                </w:rPr>
                <m:t>y</m:t>
              </m:r>
            </m:e>
          </m:d>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Ω</m:t>
              </m:r>
            </m:e>
            <m:sub>
              <m:r>
                <w:rPr>
                  <w:rFonts w:ascii="Cambria Math" w:hAnsi="Cambria Math"/>
                  <w:sz w:val="20"/>
                  <w:szCs w:val="20"/>
                  <w:lang w:val="en-US" w:eastAsia="zh-CN"/>
                </w:rPr>
                <m:t>ped.IBS</m:t>
              </m:r>
            </m:sub>
          </m:sSub>
          <m:r>
            <w:rPr>
              <w:rFonts w:ascii="Cambria Math" w:hAnsi="Cambria Math"/>
              <w:sz w:val="20"/>
              <w:szCs w:val="20"/>
              <w:lang w:val="en-US" w:eastAsia="zh-CN"/>
            </w:rPr>
            <m:t>)</m:t>
          </m:r>
        </m:oMath>
      </m:oMathPara>
    </w:p>
    <w:p w14:paraId="4AB62A0E" w14:textId="648BC7EB" w:rsidR="00DA2676" w:rsidRDefault="00DA2676" w:rsidP="00764EE2">
      <w:pPr>
        <w:pStyle w:val="Heading2"/>
        <w:rPr>
          <w:lang w:val="en-US" w:eastAsia="zh-CN"/>
        </w:rPr>
      </w:pPr>
      <w:bookmarkStart w:id="13" w:name="_Toc430943797"/>
      <w:r>
        <w:rPr>
          <w:lang w:val="en-US" w:eastAsia="zh-CN"/>
        </w:rPr>
        <w:t>Genetic architecture</w:t>
      </w:r>
      <w:bookmarkEnd w:id="13"/>
    </w:p>
    <w:p w14:paraId="5D1E2DDE" w14:textId="354A4CB8" w:rsidR="00480690" w:rsidRDefault="00480690" w:rsidP="00480690">
      <w:pPr>
        <w:pStyle w:val="Heading3"/>
        <w:rPr>
          <w:lang w:val="en-US" w:eastAsia="zh-CN"/>
        </w:rPr>
      </w:pPr>
      <w:bookmarkStart w:id="14" w:name="_Toc430943798"/>
      <w:r>
        <w:rPr>
          <w:lang w:val="en-US" w:eastAsia="zh-CN"/>
        </w:rPr>
        <w:t>Infinitesimal model</w:t>
      </w:r>
      <w:bookmarkEnd w:id="14"/>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E336D1"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E336D1"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bookmarkStart w:id="15" w:name="_GoBack"/>
      <w:bookmarkEnd w:id="15"/>
    </w:p>
    <w:p w14:paraId="03D9C7AC" w14:textId="3DC736F4" w:rsidR="00480690" w:rsidRDefault="005C366A" w:rsidP="00480690">
      <w:pPr>
        <w:pStyle w:val="Heading3"/>
        <w:rPr>
          <w:lang w:val="en-US" w:eastAsia="zh-CN"/>
        </w:rPr>
      </w:pPr>
      <w:bookmarkStart w:id="16" w:name="_Toc430943799"/>
      <w:r>
        <w:rPr>
          <w:lang w:val="en-US" w:eastAsia="zh-CN"/>
        </w:rPr>
        <w:t>Local structure</w:t>
      </w:r>
      <w:bookmarkEnd w:id="16"/>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38F61C3A" w14:textId="77777777" w:rsidR="00FB485B" w:rsidRPr="007F51CE" w:rsidRDefault="00E336D1"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E336D1"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E336D1"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7" w:name="_Toc430943800"/>
      <w:r>
        <w:rPr>
          <w:rFonts w:hint="eastAsia"/>
          <w:lang w:val="en-US" w:eastAsia="zh-CN"/>
        </w:rPr>
        <w:t>Results</w:t>
      </w:r>
      <w:bookmarkEnd w:id="17"/>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8" w:name="_Toc430943801"/>
      <w:r>
        <w:rPr>
          <w:lang w:val="en-US" w:eastAsia="zh-CN"/>
        </w:rPr>
        <w:t>Simulation</w:t>
      </w:r>
      <w:bookmarkEnd w:id="18"/>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E336D1"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E336D1"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E336D1"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E336D1"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E336D1"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E336D1"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0943802"/>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DAB8768" w14:textId="2EA91B47" w:rsidR="00DF4A68" w:rsidRPr="00DF4A68" w:rsidRDefault="00D5456D" w:rsidP="00DF4A68">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F4A68" w:rsidRPr="00DF4A68">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DF4A68" w:rsidRPr="00DF4A68">
        <w:rPr>
          <w:rFonts w:cs="Times New Roman"/>
          <w:b/>
          <w:bCs/>
          <w:noProof/>
        </w:rPr>
        <w:t>562</w:t>
      </w:r>
      <w:r w:rsidR="00DF4A68" w:rsidRPr="00DF4A68">
        <w:rPr>
          <w:rFonts w:cs="Times New Roman"/>
          <w:noProof/>
        </w:rPr>
        <w:t>: 203–209.</w:t>
      </w:r>
    </w:p>
    <w:p w14:paraId="58765B4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Chen G.-B., 2014 Estimating heritability of complex traits from genome-wide association studies using IBS-based Haseman-Elston regression. Front. Genet. </w:t>
      </w:r>
      <w:r w:rsidRPr="00DF4A68">
        <w:rPr>
          <w:rFonts w:cs="Times New Roman"/>
          <w:b/>
          <w:bCs/>
          <w:noProof/>
        </w:rPr>
        <w:t>5</w:t>
      </w:r>
      <w:r w:rsidRPr="00DF4A68">
        <w:rPr>
          <w:rFonts w:cs="Times New Roman"/>
          <w:noProof/>
        </w:rPr>
        <w:t>: 107.</w:t>
      </w:r>
    </w:p>
    <w:p w14:paraId="4F996D7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Haseman J. K., Elston R. C., 1972 The investigation of linkage between a quantitative trait and a marker locus. Behav. Genet. </w:t>
      </w:r>
      <w:r w:rsidRPr="00DF4A68">
        <w:rPr>
          <w:rFonts w:cs="Times New Roman"/>
          <w:b/>
          <w:bCs/>
          <w:noProof/>
        </w:rPr>
        <w:t>2</w:t>
      </w:r>
      <w:r w:rsidRPr="00DF4A68">
        <w:rPr>
          <w:rFonts w:cs="Times New Roman"/>
          <w:noProof/>
        </w:rPr>
        <w:t>: 3–19.</w:t>
      </w:r>
    </w:p>
    <w:p w14:paraId="4C0A506B"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los Campos G. de, Sorensen D., Gianola D., 2015 Genomic heritability: what is it? PLoS Genet. </w:t>
      </w:r>
      <w:r w:rsidRPr="00DF4A68">
        <w:rPr>
          <w:rFonts w:cs="Times New Roman"/>
          <w:b/>
          <w:bCs/>
          <w:noProof/>
        </w:rPr>
        <w:t>11</w:t>
      </w:r>
      <w:r w:rsidRPr="00DF4A68">
        <w:rPr>
          <w:rFonts w:cs="Times New Roman"/>
          <w:noProof/>
        </w:rPr>
        <w:t>: e1005048.</w:t>
      </w:r>
    </w:p>
    <w:p w14:paraId="42BBE3F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Manichaikul A., Mychaleckyj J. C., Rich S. S., Daly K., Sale M., Chen W.-M., 2010 Robust relationship inference in genome-wide association studies. Bioinformatics </w:t>
      </w:r>
      <w:r w:rsidRPr="00DF4A68">
        <w:rPr>
          <w:rFonts w:cs="Times New Roman"/>
          <w:b/>
          <w:bCs/>
          <w:noProof/>
        </w:rPr>
        <w:t>26</w:t>
      </w:r>
      <w:r w:rsidRPr="00DF4A68">
        <w:rPr>
          <w:rFonts w:cs="Times New Roman"/>
          <w:noProof/>
        </w:rPr>
        <w:t>: 2867–73.</w:t>
      </w:r>
    </w:p>
    <w:p w14:paraId="3D24BB44"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DF4A68">
        <w:rPr>
          <w:rFonts w:cs="Times New Roman"/>
          <w:b/>
          <w:bCs/>
          <w:noProof/>
        </w:rPr>
        <w:t>461</w:t>
      </w:r>
      <w:r w:rsidRPr="00DF4A68">
        <w:rPr>
          <w:rFonts w:cs="Times New Roman"/>
          <w:noProof/>
        </w:rPr>
        <w:t>: 747–53.</w:t>
      </w:r>
    </w:p>
    <w:p w14:paraId="4530FF50"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Sham P. C., Purcell S., 2001 Equivalence between Haseman-Elston and variance-components linkage analyses for sib pairs. Am. J. Hum. Genet. </w:t>
      </w:r>
      <w:r w:rsidRPr="00DF4A68">
        <w:rPr>
          <w:rFonts w:cs="Times New Roman"/>
          <w:b/>
          <w:bCs/>
          <w:noProof/>
        </w:rPr>
        <w:t>68</w:t>
      </w:r>
      <w:r w:rsidRPr="00DF4A68">
        <w:rPr>
          <w:rFonts w:cs="Times New Roman"/>
          <w:noProof/>
        </w:rPr>
        <w:t>: 1527–32.</w:t>
      </w:r>
    </w:p>
    <w:p w14:paraId="03BF713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VanRaden P. M., 2008 Efficient methods to compute genomic predictions. J. Dairy Sci. </w:t>
      </w:r>
      <w:r w:rsidRPr="00DF4A68">
        <w:rPr>
          <w:rFonts w:cs="Times New Roman"/>
          <w:b/>
          <w:bCs/>
          <w:noProof/>
        </w:rPr>
        <w:t>91</w:t>
      </w:r>
      <w:r w:rsidRPr="00DF4A68">
        <w:rPr>
          <w:rFonts w:cs="Times New Roman"/>
          <w:noProof/>
        </w:rPr>
        <w:t>: 4414–4423.</w:t>
      </w:r>
    </w:p>
    <w:p w14:paraId="6266F3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DF4A68">
        <w:rPr>
          <w:rFonts w:cs="Times New Roman"/>
          <w:b/>
          <w:bCs/>
          <w:noProof/>
        </w:rPr>
        <w:t>2</w:t>
      </w:r>
      <w:r w:rsidRPr="00DF4A68">
        <w:rPr>
          <w:rFonts w:cs="Times New Roman"/>
          <w:noProof/>
        </w:rPr>
        <w:t>: e41.</w:t>
      </w:r>
    </w:p>
    <w:p w14:paraId="229BD2E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Vitezica Z. G., Legarra A., Toro M. A., Varona L., 2017 Orthogonal Estimates of Variances for Additive, Dominance and Epistatic Effects in Populations. Genetics </w:t>
      </w:r>
      <w:r w:rsidRPr="00DF4A68">
        <w:rPr>
          <w:rFonts w:cs="Times New Roman"/>
          <w:b/>
          <w:bCs/>
          <w:noProof/>
        </w:rPr>
        <w:t>206</w:t>
      </w:r>
      <w:r w:rsidRPr="00DF4A68">
        <w:rPr>
          <w:rFonts w:cs="Times New Roman"/>
          <w:noProof/>
        </w:rPr>
        <w:t>: 1297–1307.</w:t>
      </w:r>
    </w:p>
    <w:p w14:paraId="4EF7BD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Wainschtein P., Jain D. P., Yengo L., Zheng Z., 2019 Recovery of trait heritability from whole genome sequence data. bioRxiv: 1–23.</w:t>
      </w:r>
    </w:p>
    <w:p w14:paraId="11312E7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DF4A68">
        <w:rPr>
          <w:rFonts w:cs="Times New Roman"/>
          <w:b/>
          <w:bCs/>
          <w:noProof/>
        </w:rPr>
        <w:t>42</w:t>
      </w:r>
      <w:r w:rsidRPr="00DF4A68">
        <w:rPr>
          <w:rFonts w:cs="Times New Roman"/>
          <w:noProof/>
        </w:rPr>
        <w:t>: 565–569.</w:t>
      </w:r>
    </w:p>
    <w:p w14:paraId="26D122B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DF4A68">
        <w:rPr>
          <w:rFonts w:cs="Times New Roman"/>
          <w:b/>
          <w:bCs/>
          <w:noProof/>
        </w:rPr>
        <w:t>47</w:t>
      </w:r>
      <w:r w:rsidRPr="00DF4A68">
        <w:rPr>
          <w:rFonts w:cs="Times New Roman"/>
          <w:noProof/>
        </w:rPr>
        <w:t>: 1114–1120.</w:t>
      </w:r>
    </w:p>
    <w:p w14:paraId="402D8DE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DF4A68">
        <w:rPr>
          <w:rFonts w:cs="Times New Roman"/>
          <w:b/>
          <w:bCs/>
          <w:noProof/>
        </w:rPr>
        <w:t>96</w:t>
      </w:r>
      <w:r w:rsidRPr="00DF4A68">
        <w:rPr>
          <w:rFonts w:cs="Times New Roman"/>
          <w:noProof/>
        </w:rPr>
        <w:t>: 377–385.</w:t>
      </w:r>
    </w:p>
    <w:p w14:paraId="410839E2" w14:textId="112182B7" w:rsidR="00747800" w:rsidRDefault="00D5456D" w:rsidP="00DF4A68">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E336D1"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E336D1"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E336D1"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E336D1"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E336D1"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E336D1"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E336D1"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E336D1"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E336D1"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E336D1"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E336D1"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E336D1"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E336D1"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E336D1"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E336D1"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E336D1"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E336D1"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E336D1"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E336D1"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E336D1"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E336D1"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E336D1"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E336D1"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E336D1"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E336D1"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E336D1"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E336D1"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E336D1"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E336D1"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E336D1"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E336D1"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E336D1"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E336D1"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E336D1"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E336D1"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E336D1"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E336D1"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E336D1"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E336D1"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E336D1" w:rsidRDefault="00E336D1" w:rsidP="00342EDE">
      <w:r>
        <w:separator/>
      </w:r>
    </w:p>
  </w:endnote>
  <w:endnote w:type="continuationSeparator" w:id="0">
    <w:p w14:paraId="4DF31A68" w14:textId="77777777" w:rsidR="00E336D1" w:rsidRDefault="00E336D1"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E336D1" w:rsidRDefault="00E336D1"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E336D1" w:rsidRDefault="00E336D1"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E336D1" w:rsidRDefault="00E336D1"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0BB8">
      <w:rPr>
        <w:rStyle w:val="PageNumber"/>
        <w:noProof/>
      </w:rPr>
      <w:t>12</w:t>
    </w:r>
    <w:r>
      <w:rPr>
        <w:rStyle w:val="PageNumber"/>
      </w:rPr>
      <w:fldChar w:fldCharType="end"/>
    </w:r>
  </w:p>
  <w:p w14:paraId="22ADA367" w14:textId="77777777" w:rsidR="00E336D1" w:rsidRDefault="00E336D1"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E336D1" w:rsidRDefault="00E336D1" w:rsidP="00342EDE">
      <w:r>
        <w:separator/>
      </w:r>
    </w:p>
  </w:footnote>
  <w:footnote w:type="continuationSeparator" w:id="0">
    <w:p w14:paraId="1EE7517F" w14:textId="77777777" w:rsidR="00E336D1" w:rsidRDefault="00E336D1"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525E"/>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0E47"/>
    <w:rsid w:val="00125538"/>
    <w:rsid w:val="00127CDB"/>
    <w:rsid w:val="00135D4B"/>
    <w:rsid w:val="001456DA"/>
    <w:rsid w:val="00150E0D"/>
    <w:rsid w:val="00175752"/>
    <w:rsid w:val="00176001"/>
    <w:rsid w:val="00182118"/>
    <w:rsid w:val="00190405"/>
    <w:rsid w:val="00194319"/>
    <w:rsid w:val="001950A3"/>
    <w:rsid w:val="001A516E"/>
    <w:rsid w:val="001B1D3D"/>
    <w:rsid w:val="001B6D9A"/>
    <w:rsid w:val="001C29E6"/>
    <w:rsid w:val="001C4B96"/>
    <w:rsid w:val="001D5710"/>
    <w:rsid w:val="001E03C0"/>
    <w:rsid w:val="001E220A"/>
    <w:rsid w:val="001F66DE"/>
    <w:rsid w:val="001F7122"/>
    <w:rsid w:val="001F74DB"/>
    <w:rsid w:val="00203635"/>
    <w:rsid w:val="002123EF"/>
    <w:rsid w:val="00216561"/>
    <w:rsid w:val="00226753"/>
    <w:rsid w:val="0023077C"/>
    <w:rsid w:val="00233259"/>
    <w:rsid w:val="00235850"/>
    <w:rsid w:val="00241BBB"/>
    <w:rsid w:val="00252886"/>
    <w:rsid w:val="00266186"/>
    <w:rsid w:val="00272EEC"/>
    <w:rsid w:val="002C7C65"/>
    <w:rsid w:val="002E412E"/>
    <w:rsid w:val="002E42D1"/>
    <w:rsid w:val="002F4828"/>
    <w:rsid w:val="00300F8A"/>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3A34"/>
    <w:rsid w:val="004768CD"/>
    <w:rsid w:val="00480690"/>
    <w:rsid w:val="00495099"/>
    <w:rsid w:val="004C4215"/>
    <w:rsid w:val="004C7125"/>
    <w:rsid w:val="004D42C9"/>
    <w:rsid w:val="004E7909"/>
    <w:rsid w:val="00504372"/>
    <w:rsid w:val="0051675E"/>
    <w:rsid w:val="00525D9E"/>
    <w:rsid w:val="005266E7"/>
    <w:rsid w:val="005321A8"/>
    <w:rsid w:val="00532AC1"/>
    <w:rsid w:val="005361C6"/>
    <w:rsid w:val="00550415"/>
    <w:rsid w:val="00576542"/>
    <w:rsid w:val="00577A14"/>
    <w:rsid w:val="0058002F"/>
    <w:rsid w:val="0059775C"/>
    <w:rsid w:val="005A5DA6"/>
    <w:rsid w:val="005C1176"/>
    <w:rsid w:val="005C346E"/>
    <w:rsid w:val="005C366A"/>
    <w:rsid w:val="005C6071"/>
    <w:rsid w:val="005D66CE"/>
    <w:rsid w:val="005F69E9"/>
    <w:rsid w:val="00602CF9"/>
    <w:rsid w:val="00633064"/>
    <w:rsid w:val="00660BD6"/>
    <w:rsid w:val="00662E5F"/>
    <w:rsid w:val="00665AED"/>
    <w:rsid w:val="00670CAE"/>
    <w:rsid w:val="006823AB"/>
    <w:rsid w:val="0068372F"/>
    <w:rsid w:val="00692B00"/>
    <w:rsid w:val="00695DE4"/>
    <w:rsid w:val="006C1121"/>
    <w:rsid w:val="006E2D46"/>
    <w:rsid w:val="007061B5"/>
    <w:rsid w:val="0071474F"/>
    <w:rsid w:val="0072714B"/>
    <w:rsid w:val="0073376F"/>
    <w:rsid w:val="00747800"/>
    <w:rsid w:val="00764EE2"/>
    <w:rsid w:val="00776FE4"/>
    <w:rsid w:val="007911CF"/>
    <w:rsid w:val="0079652F"/>
    <w:rsid w:val="00796BB2"/>
    <w:rsid w:val="007F193D"/>
    <w:rsid w:val="007F1F48"/>
    <w:rsid w:val="007F51CE"/>
    <w:rsid w:val="008114D4"/>
    <w:rsid w:val="00815FD0"/>
    <w:rsid w:val="0082046E"/>
    <w:rsid w:val="00821AD3"/>
    <w:rsid w:val="00823781"/>
    <w:rsid w:val="00845C9E"/>
    <w:rsid w:val="00857118"/>
    <w:rsid w:val="00861AEB"/>
    <w:rsid w:val="00862E40"/>
    <w:rsid w:val="00864034"/>
    <w:rsid w:val="00867D57"/>
    <w:rsid w:val="008747AC"/>
    <w:rsid w:val="00893457"/>
    <w:rsid w:val="008B65C2"/>
    <w:rsid w:val="008C0683"/>
    <w:rsid w:val="008C30C1"/>
    <w:rsid w:val="008D0BB8"/>
    <w:rsid w:val="008F5846"/>
    <w:rsid w:val="00903E0F"/>
    <w:rsid w:val="00920073"/>
    <w:rsid w:val="00923CE0"/>
    <w:rsid w:val="00923F9D"/>
    <w:rsid w:val="009510F3"/>
    <w:rsid w:val="009538FD"/>
    <w:rsid w:val="00954F3E"/>
    <w:rsid w:val="00977886"/>
    <w:rsid w:val="009907C9"/>
    <w:rsid w:val="00990803"/>
    <w:rsid w:val="00992ABD"/>
    <w:rsid w:val="009A447A"/>
    <w:rsid w:val="009B19D4"/>
    <w:rsid w:val="009B6420"/>
    <w:rsid w:val="009C4BD9"/>
    <w:rsid w:val="009E1C4C"/>
    <w:rsid w:val="009F558B"/>
    <w:rsid w:val="009F7168"/>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2008"/>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24183"/>
    <w:rsid w:val="00C313C8"/>
    <w:rsid w:val="00C366B8"/>
    <w:rsid w:val="00C37B9D"/>
    <w:rsid w:val="00C5673B"/>
    <w:rsid w:val="00C626CA"/>
    <w:rsid w:val="00C63BC5"/>
    <w:rsid w:val="00C65598"/>
    <w:rsid w:val="00C70C9C"/>
    <w:rsid w:val="00C9568E"/>
    <w:rsid w:val="00CE04C2"/>
    <w:rsid w:val="00CE0B18"/>
    <w:rsid w:val="00D06CDF"/>
    <w:rsid w:val="00D1086F"/>
    <w:rsid w:val="00D114BB"/>
    <w:rsid w:val="00D20796"/>
    <w:rsid w:val="00D23213"/>
    <w:rsid w:val="00D24826"/>
    <w:rsid w:val="00D26798"/>
    <w:rsid w:val="00D27440"/>
    <w:rsid w:val="00D42EAD"/>
    <w:rsid w:val="00D45D4C"/>
    <w:rsid w:val="00D5456D"/>
    <w:rsid w:val="00D55FBE"/>
    <w:rsid w:val="00D66B27"/>
    <w:rsid w:val="00D73298"/>
    <w:rsid w:val="00DA16E3"/>
    <w:rsid w:val="00DA2676"/>
    <w:rsid w:val="00DA62DB"/>
    <w:rsid w:val="00DC5D3F"/>
    <w:rsid w:val="00DC7187"/>
    <w:rsid w:val="00DD4118"/>
    <w:rsid w:val="00DE1D39"/>
    <w:rsid w:val="00DF4A68"/>
    <w:rsid w:val="00E015AC"/>
    <w:rsid w:val="00E150BF"/>
    <w:rsid w:val="00E23D27"/>
    <w:rsid w:val="00E336D1"/>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BA119-D2B1-294A-86E7-917B4F7F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20</Pages>
  <Words>12567</Words>
  <Characters>74651</Characters>
  <Application>Microsoft Macintosh Word</Application>
  <DocSecurity>0</DocSecurity>
  <Lines>1866</Lines>
  <Paragraphs>1228</Paragraphs>
  <ScaleCrop>false</ScaleCrop>
  <Company>Free</Company>
  <LinksUpToDate>false</LinksUpToDate>
  <CharactersWithSpaces>85990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118</cp:revision>
  <dcterms:created xsi:type="dcterms:W3CDTF">2019-08-16T06:18:00Z</dcterms:created>
  <dcterms:modified xsi:type="dcterms:W3CDTF">2019-09-24T08:41:00Z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