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32F7639B" w:rsidR="003C27A4" w:rsidRPr="00AD0C72" w:rsidRDefault="00EB650F">
      <w:pPr>
        <w:rPr>
          <w:b/>
          <w:lang w:val="en-US"/>
        </w:rPr>
      </w:pPr>
      <w:r w:rsidRPr="00AD0C72">
        <w:rPr>
          <w:b/>
          <w:lang w:val="en-US"/>
        </w:rPr>
        <w:t xml:space="preserve">Title: </w:t>
      </w:r>
      <w:r w:rsidR="008F5846">
        <w:rPr>
          <w:lang w:val="en-US"/>
        </w:rPr>
        <w:t>I</w:t>
      </w:r>
      <w:r w:rsidR="00504372" w:rsidRPr="00504372">
        <w:rPr>
          <w:rFonts w:hint="eastAsia"/>
          <w:lang w:val="en-US" w:eastAsia="zh-CN"/>
        </w:rPr>
        <w:t xml:space="preserve">nterpretation </w:t>
      </w:r>
      <w:r w:rsidR="005361C6" w:rsidRPr="00504372">
        <w:rPr>
          <w:lang w:val="en-US"/>
        </w:rPr>
        <w:t>SNP-based heritability using Haseman-Elston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0C05DE67" w14:textId="77777777" w:rsidR="00495099"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495099" w:rsidRPr="00945843">
        <w:rPr>
          <w:noProof/>
          <w:lang w:val="en-US"/>
        </w:rPr>
        <w:t>Abstract</w:t>
      </w:r>
      <w:r w:rsidR="00495099">
        <w:rPr>
          <w:noProof/>
        </w:rPr>
        <w:tab/>
      </w:r>
      <w:r w:rsidR="00495099">
        <w:rPr>
          <w:noProof/>
        </w:rPr>
        <w:fldChar w:fldCharType="begin"/>
      </w:r>
      <w:r w:rsidR="00495099">
        <w:rPr>
          <w:noProof/>
        </w:rPr>
        <w:instrText xml:space="preserve"> PAGEREF _Toc430943784 \h </w:instrText>
      </w:r>
      <w:r w:rsidR="00495099">
        <w:rPr>
          <w:noProof/>
        </w:rPr>
      </w:r>
      <w:r w:rsidR="00495099">
        <w:rPr>
          <w:noProof/>
        </w:rPr>
        <w:fldChar w:fldCharType="separate"/>
      </w:r>
      <w:r w:rsidR="00495099">
        <w:rPr>
          <w:noProof/>
        </w:rPr>
        <w:t>3</w:t>
      </w:r>
      <w:r w:rsidR="00495099">
        <w:rPr>
          <w:noProof/>
        </w:rPr>
        <w:fldChar w:fldCharType="end"/>
      </w:r>
    </w:p>
    <w:p w14:paraId="5831D9E7" w14:textId="77777777" w:rsidR="00495099" w:rsidRDefault="00495099">
      <w:pPr>
        <w:pStyle w:val="TOC1"/>
        <w:tabs>
          <w:tab w:val="right" w:leader="dot" w:pos="10450"/>
        </w:tabs>
        <w:rPr>
          <w:b w:val="0"/>
          <w:noProof/>
          <w:lang w:val="en-US" w:eastAsia="ja-JP"/>
        </w:rPr>
      </w:pPr>
      <w:r w:rsidRPr="00945843">
        <w:rPr>
          <w:noProof/>
          <w:lang w:val="en-US" w:eastAsia="zh-CN"/>
        </w:rPr>
        <w:t>Introduction</w:t>
      </w:r>
      <w:r>
        <w:rPr>
          <w:noProof/>
        </w:rPr>
        <w:tab/>
      </w:r>
      <w:r>
        <w:rPr>
          <w:noProof/>
        </w:rPr>
        <w:fldChar w:fldCharType="begin"/>
      </w:r>
      <w:r>
        <w:rPr>
          <w:noProof/>
        </w:rPr>
        <w:instrText xml:space="preserve"> PAGEREF _Toc430943785 \h </w:instrText>
      </w:r>
      <w:r>
        <w:rPr>
          <w:noProof/>
        </w:rPr>
      </w:r>
      <w:r>
        <w:rPr>
          <w:noProof/>
        </w:rPr>
        <w:fldChar w:fldCharType="separate"/>
      </w:r>
      <w:r>
        <w:rPr>
          <w:noProof/>
        </w:rPr>
        <w:t>4</w:t>
      </w:r>
      <w:r>
        <w:rPr>
          <w:noProof/>
        </w:rPr>
        <w:fldChar w:fldCharType="end"/>
      </w:r>
    </w:p>
    <w:p w14:paraId="0B814D83" w14:textId="77777777" w:rsidR="00495099" w:rsidRDefault="00495099">
      <w:pPr>
        <w:pStyle w:val="TOC1"/>
        <w:tabs>
          <w:tab w:val="right" w:leader="dot" w:pos="10450"/>
        </w:tabs>
        <w:rPr>
          <w:b w:val="0"/>
          <w:noProof/>
          <w:lang w:val="en-US" w:eastAsia="ja-JP"/>
        </w:rPr>
      </w:pPr>
      <w:r w:rsidRPr="00945843">
        <w:rPr>
          <w:noProof/>
          <w:lang w:val="en-US" w:eastAsia="zh-CN"/>
        </w:rPr>
        <w:t>Methods</w:t>
      </w:r>
      <w:r>
        <w:rPr>
          <w:noProof/>
        </w:rPr>
        <w:tab/>
      </w:r>
      <w:r>
        <w:rPr>
          <w:noProof/>
        </w:rPr>
        <w:fldChar w:fldCharType="begin"/>
      </w:r>
      <w:r>
        <w:rPr>
          <w:noProof/>
        </w:rPr>
        <w:instrText xml:space="preserve"> PAGEREF _Toc430943786 \h </w:instrText>
      </w:r>
      <w:r>
        <w:rPr>
          <w:noProof/>
        </w:rPr>
      </w:r>
      <w:r>
        <w:rPr>
          <w:noProof/>
        </w:rPr>
        <w:fldChar w:fldCharType="separate"/>
      </w:r>
      <w:r>
        <w:rPr>
          <w:noProof/>
        </w:rPr>
        <w:t>5</w:t>
      </w:r>
      <w:r>
        <w:rPr>
          <w:noProof/>
        </w:rPr>
        <w:fldChar w:fldCharType="end"/>
      </w:r>
    </w:p>
    <w:p w14:paraId="7A873EDA"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Heritability in definition</w:t>
      </w:r>
      <w:r>
        <w:rPr>
          <w:noProof/>
        </w:rPr>
        <w:tab/>
      </w:r>
      <w:r>
        <w:rPr>
          <w:noProof/>
        </w:rPr>
        <w:fldChar w:fldCharType="begin"/>
      </w:r>
      <w:r>
        <w:rPr>
          <w:noProof/>
        </w:rPr>
        <w:instrText xml:space="preserve"> PAGEREF _Toc430943787 \h </w:instrText>
      </w:r>
      <w:r>
        <w:rPr>
          <w:noProof/>
        </w:rPr>
      </w:r>
      <w:r>
        <w:rPr>
          <w:noProof/>
        </w:rPr>
        <w:fldChar w:fldCharType="separate"/>
      </w:r>
      <w:r>
        <w:rPr>
          <w:noProof/>
        </w:rPr>
        <w:t>5</w:t>
      </w:r>
      <w:r>
        <w:rPr>
          <w:noProof/>
        </w:rPr>
        <w:fldChar w:fldCharType="end"/>
      </w:r>
    </w:p>
    <w:p w14:paraId="31832E1A"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Haseman-Elston regression</w:t>
      </w:r>
      <w:r>
        <w:rPr>
          <w:noProof/>
        </w:rPr>
        <w:tab/>
      </w:r>
      <w:r>
        <w:rPr>
          <w:noProof/>
        </w:rPr>
        <w:fldChar w:fldCharType="begin"/>
      </w:r>
      <w:r>
        <w:rPr>
          <w:noProof/>
        </w:rPr>
        <w:instrText xml:space="preserve"> PAGEREF _Toc430943788 \h </w:instrText>
      </w:r>
      <w:r>
        <w:rPr>
          <w:noProof/>
        </w:rPr>
      </w:r>
      <w:r>
        <w:rPr>
          <w:noProof/>
        </w:rPr>
        <w:fldChar w:fldCharType="separate"/>
      </w:r>
      <w:r>
        <w:rPr>
          <w:noProof/>
        </w:rPr>
        <w:t>5</w:t>
      </w:r>
      <w:r>
        <w:rPr>
          <w:noProof/>
        </w:rPr>
        <w:fldChar w:fldCharType="end"/>
      </w:r>
    </w:p>
    <w:p w14:paraId="108C6D7F"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 xml:space="preserve">Estimator I </w:t>
      </w:r>
      <m:oMath>
        <m:r>
          <m:rPr>
            <m:sty m:val="b"/>
          </m:rPr>
          <w:rPr>
            <w:rFonts w:ascii="Cambria Math" w:hAnsi="Cambria Math"/>
            <w:noProof/>
            <w:lang w:val="en-US" w:eastAsia="zh-CN"/>
          </w:rPr>
          <m:t>hSNP2</m:t>
        </m:r>
      </m:oMath>
      <w:r w:rsidRPr="00945843">
        <w:rPr>
          <w:noProof/>
          <w:lang w:val="en-US" w:eastAsia="zh-CN"/>
        </w:rPr>
        <w:t>: SNP-heritability for unrelated samples – population-based design</w:t>
      </w:r>
      <w:r>
        <w:rPr>
          <w:noProof/>
        </w:rPr>
        <w:tab/>
      </w:r>
      <w:r>
        <w:rPr>
          <w:noProof/>
        </w:rPr>
        <w:fldChar w:fldCharType="begin"/>
      </w:r>
      <w:r>
        <w:rPr>
          <w:noProof/>
        </w:rPr>
        <w:instrText xml:space="preserve"> PAGEREF _Toc430943789 \h </w:instrText>
      </w:r>
      <w:r>
        <w:rPr>
          <w:noProof/>
        </w:rPr>
      </w:r>
      <w:r>
        <w:rPr>
          <w:noProof/>
        </w:rPr>
        <w:fldChar w:fldCharType="separate"/>
      </w:r>
      <w:r>
        <w:rPr>
          <w:noProof/>
        </w:rPr>
        <w:t>6</w:t>
      </w:r>
      <w:r>
        <w:rPr>
          <w:noProof/>
        </w:rPr>
        <w:fldChar w:fldCharType="end"/>
      </w:r>
    </w:p>
    <w:p w14:paraId="765150A3"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unrelated samples (classic GRM)</w:t>
      </w:r>
      <w:r>
        <w:rPr>
          <w:noProof/>
        </w:rPr>
        <w:tab/>
      </w:r>
      <w:r>
        <w:rPr>
          <w:noProof/>
        </w:rPr>
        <w:fldChar w:fldCharType="begin"/>
      </w:r>
      <w:r>
        <w:rPr>
          <w:noProof/>
        </w:rPr>
        <w:instrText xml:space="preserve"> PAGEREF _Toc430943790 \h </w:instrText>
      </w:r>
      <w:r>
        <w:rPr>
          <w:noProof/>
        </w:rPr>
      </w:r>
      <w:r>
        <w:rPr>
          <w:noProof/>
        </w:rPr>
        <w:fldChar w:fldCharType="separate"/>
      </w:r>
      <w:r>
        <w:rPr>
          <w:noProof/>
        </w:rPr>
        <w:t>6</w:t>
      </w:r>
      <w:r>
        <w:rPr>
          <w:noProof/>
        </w:rPr>
        <w:fldChar w:fldCharType="end"/>
      </w:r>
    </w:p>
    <w:p w14:paraId="288F8390"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unrelated samples (robust GRM)</w:t>
      </w:r>
      <w:r>
        <w:rPr>
          <w:noProof/>
        </w:rPr>
        <w:tab/>
      </w:r>
      <w:r>
        <w:rPr>
          <w:noProof/>
        </w:rPr>
        <w:fldChar w:fldCharType="begin"/>
      </w:r>
      <w:r>
        <w:rPr>
          <w:noProof/>
        </w:rPr>
        <w:instrText xml:space="preserve"> PAGEREF _Toc430943791 \h </w:instrText>
      </w:r>
      <w:r>
        <w:rPr>
          <w:noProof/>
        </w:rPr>
      </w:r>
      <w:r>
        <w:rPr>
          <w:noProof/>
        </w:rPr>
        <w:fldChar w:fldCharType="separate"/>
      </w:r>
      <w:r>
        <w:rPr>
          <w:noProof/>
        </w:rPr>
        <w:t>7</w:t>
      </w:r>
      <w:r>
        <w:rPr>
          <w:noProof/>
        </w:rPr>
        <w:fldChar w:fldCharType="end"/>
      </w:r>
    </w:p>
    <w:p w14:paraId="24B6F904" w14:textId="77777777" w:rsidR="00495099" w:rsidRDefault="00495099">
      <w:pPr>
        <w:pStyle w:val="TOC3"/>
        <w:tabs>
          <w:tab w:val="right" w:leader="dot" w:pos="10450"/>
        </w:tabs>
        <w:rPr>
          <w:noProof/>
          <w:sz w:val="24"/>
          <w:szCs w:val="24"/>
          <w:lang w:val="en-US" w:eastAsia="ja-JP"/>
        </w:rPr>
      </w:pPr>
      <w:r w:rsidRPr="00945843">
        <w:rPr>
          <w:noProof/>
          <w:lang w:val="en-US" w:eastAsia="zh-CN"/>
        </w:rPr>
        <w:t>Dominance SNP-heritability</w:t>
      </w:r>
      <w:r>
        <w:rPr>
          <w:noProof/>
        </w:rPr>
        <w:tab/>
      </w:r>
      <w:r>
        <w:rPr>
          <w:noProof/>
        </w:rPr>
        <w:fldChar w:fldCharType="begin"/>
      </w:r>
      <w:r>
        <w:rPr>
          <w:noProof/>
        </w:rPr>
        <w:instrText xml:space="preserve"> PAGEREF _Toc430943792 \h </w:instrText>
      </w:r>
      <w:r>
        <w:rPr>
          <w:noProof/>
        </w:rPr>
      </w:r>
      <w:r>
        <w:rPr>
          <w:noProof/>
        </w:rPr>
        <w:fldChar w:fldCharType="separate"/>
      </w:r>
      <w:r>
        <w:rPr>
          <w:noProof/>
        </w:rPr>
        <w:t>7</w:t>
      </w:r>
      <w:r>
        <w:rPr>
          <w:noProof/>
        </w:rPr>
        <w:fldChar w:fldCharType="end"/>
      </w:r>
    </w:p>
    <w:p w14:paraId="1A7BCFCB"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 xml:space="preserve">Estimator II </w:t>
      </w:r>
      <m:oMath>
        <m:r>
          <m:rPr>
            <m:sty m:val="b"/>
          </m:rPr>
          <w:rPr>
            <w:rFonts w:ascii="Cambria Math" w:hAnsi="Cambria Math"/>
            <w:noProof/>
            <w:lang w:val="en-US" w:eastAsia="zh-CN"/>
          </w:rPr>
          <m:t>hped2</m:t>
        </m:r>
      </m:oMath>
      <w:r w:rsidRPr="00945843">
        <w:rPr>
          <w:noProof/>
          <w:lang w:val="en-US" w:eastAsia="zh-CN"/>
        </w:rPr>
        <w:t>: SNP-heritability for linkage analysis – sib pair design</w:t>
      </w:r>
      <w:r>
        <w:rPr>
          <w:noProof/>
        </w:rPr>
        <w:tab/>
      </w:r>
      <w:r>
        <w:rPr>
          <w:noProof/>
        </w:rPr>
        <w:fldChar w:fldCharType="begin"/>
      </w:r>
      <w:r>
        <w:rPr>
          <w:noProof/>
        </w:rPr>
        <w:instrText xml:space="preserve"> PAGEREF _Toc430943793 \h </w:instrText>
      </w:r>
      <w:r>
        <w:rPr>
          <w:noProof/>
        </w:rPr>
      </w:r>
      <w:r>
        <w:rPr>
          <w:noProof/>
        </w:rPr>
        <w:fldChar w:fldCharType="separate"/>
      </w:r>
      <w:r>
        <w:rPr>
          <w:noProof/>
        </w:rPr>
        <w:t>8</w:t>
      </w:r>
      <w:r>
        <w:rPr>
          <w:noProof/>
        </w:rPr>
        <w:fldChar w:fldCharType="end"/>
      </w:r>
    </w:p>
    <w:p w14:paraId="1ADF6136" w14:textId="77777777" w:rsidR="00495099" w:rsidRDefault="00495099">
      <w:pPr>
        <w:pStyle w:val="TOC3"/>
        <w:tabs>
          <w:tab w:val="right" w:leader="dot" w:pos="10450"/>
        </w:tabs>
        <w:rPr>
          <w:noProof/>
          <w:sz w:val="24"/>
          <w:szCs w:val="24"/>
          <w:lang w:val="en-US" w:eastAsia="ja-JP"/>
        </w:rPr>
      </w:pPr>
      <w:r w:rsidRPr="00945843">
        <w:rPr>
          <w:noProof/>
          <w:lang w:val="en-US" w:eastAsia="zh-CN"/>
        </w:rPr>
        <w:t>Additive SNP-heritability for sibling in linkage analysis</w:t>
      </w:r>
      <w:r>
        <w:rPr>
          <w:noProof/>
        </w:rPr>
        <w:tab/>
      </w:r>
      <w:r>
        <w:rPr>
          <w:noProof/>
        </w:rPr>
        <w:fldChar w:fldCharType="begin"/>
      </w:r>
      <w:r>
        <w:rPr>
          <w:noProof/>
        </w:rPr>
        <w:instrText xml:space="preserve"> PAGEREF _Toc430943794 \h </w:instrText>
      </w:r>
      <w:r>
        <w:rPr>
          <w:noProof/>
        </w:rPr>
      </w:r>
      <w:r>
        <w:rPr>
          <w:noProof/>
        </w:rPr>
        <w:fldChar w:fldCharType="separate"/>
      </w:r>
      <w:r>
        <w:rPr>
          <w:noProof/>
        </w:rPr>
        <w:t>8</w:t>
      </w:r>
      <w:r>
        <w:rPr>
          <w:noProof/>
        </w:rPr>
        <w:fldChar w:fldCharType="end"/>
      </w:r>
    </w:p>
    <w:p w14:paraId="06A10C84" w14:textId="77777777" w:rsidR="00495099" w:rsidRDefault="00495099">
      <w:pPr>
        <w:pStyle w:val="TOC3"/>
        <w:tabs>
          <w:tab w:val="right" w:leader="dot" w:pos="10450"/>
        </w:tabs>
        <w:rPr>
          <w:noProof/>
          <w:sz w:val="24"/>
          <w:szCs w:val="24"/>
          <w:lang w:val="en-US" w:eastAsia="ja-JP"/>
        </w:rPr>
      </w:pPr>
      <w:r w:rsidRPr="00945843">
        <w:rPr>
          <w:noProof/>
          <w:lang w:val="en-US" w:eastAsia="zh-CN"/>
        </w:rPr>
        <w:t>Dominance SNP-heritability for sib pair design</w:t>
      </w:r>
      <w:r>
        <w:rPr>
          <w:noProof/>
        </w:rPr>
        <w:tab/>
      </w:r>
      <w:r>
        <w:rPr>
          <w:noProof/>
        </w:rPr>
        <w:fldChar w:fldCharType="begin"/>
      </w:r>
      <w:r>
        <w:rPr>
          <w:noProof/>
        </w:rPr>
        <w:instrText xml:space="preserve"> PAGEREF _Toc430943795 \h </w:instrText>
      </w:r>
      <w:r>
        <w:rPr>
          <w:noProof/>
        </w:rPr>
      </w:r>
      <w:r>
        <w:rPr>
          <w:noProof/>
        </w:rPr>
        <w:fldChar w:fldCharType="separate"/>
      </w:r>
      <w:r>
        <w:rPr>
          <w:noProof/>
        </w:rPr>
        <w:t>11</w:t>
      </w:r>
      <w:r>
        <w:rPr>
          <w:noProof/>
        </w:rPr>
        <w:fldChar w:fldCharType="end"/>
      </w:r>
    </w:p>
    <w:p w14:paraId="6B69EAC2"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Relationship between IBD and IBS (not finished yet)</w:t>
      </w:r>
      <w:r>
        <w:rPr>
          <w:noProof/>
        </w:rPr>
        <w:tab/>
      </w:r>
      <w:r>
        <w:rPr>
          <w:noProof/>
        </w:rPr>
        <w:fldChar w:fldCharType="begin"/>
      </w:r>
      <w:r>
        <w:rPr>
          <w:noProof/>
        </w:rPr>
        <w:instrText xml:space="preserve"> PAGEREF _Toc430943796 \h </w:instrText>
      </w:r>
      <w:r>
        <w:rPr>
          <w:noProof/>
        </w:rPr>
      </w:r>
      <w:r>
        <w:rPr>
          <w:noProof/>
        </w:rPr>
        <w:fldChar w:fldCharType="separate"/>
      </w:r>
      <w:r>
        <w:rPr>
          <w:noProof/>
        </w:rPr>
        <w:t>11</w:t>
      </w:r>
      <w:r>
        <w:rPr>
          <w:noProof/>
        </w:rPr>
        <w:fldChar w:fldCharType="end"/>
      </w:r>
    </w:p>
    <w:p w14:paraId="59600744"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Genetic architecture</w:t>
      </w:r>
      <w:r>
        <w:rPr>
          <w:noProof/>
        </w:rPr>
        <w:tab/>
      </w:r>
      <w:r>
        <w:rPr>
          <w:noProof/>
        </w:rPr>
        <w:fldChar w:fldCharType="begin"/>
      </w:r>
      <w:r>
        <w:rPr>
          <w:noProof/>
        </w:rPr>
        <w:instrText xml:space="preserve"> PAGEREF _Toc430943797 \h </w:instrText>
      </w:r>
      <w:r>
        <w:rPr>
          <w:noProof/>
        </w:rPr>
      </w:r>
      <w:r>
        <w:rPr>
          <w:noProof/>
        </w:rPr>
        <w:fldChar w:fldCharType="separate"/>
      </w:r>
      <w:r>
        <w:rPr>
          <w:noProof/>
        </w:rPr>
        <w:t>11</w:t>
      </w:r>
      <w:r>
        <w:rPr>
          <w:noProof/>
        </w:rPr>
        <w:fldChar w:fldCharType="end"/>
      </w:r>
    </w:p>
    <w:p w14:paraId="5403A008" w14:textId="77777777" w:rsidR="00495099" w:rsidRDefault="00495099">
      <w:pPr>
        <w:pStyle w:val="TOC3"/>
        <w:tabs>
          <w:tab w:val="right" w:leader="dot" w:pos="10450"/>
        </w:tabs>
        <w:rPr>
          <w:noProof/>
          <w:sz w:val="24"/>
          <w:szCs w:val="24"/>
          <w:lang w:val="en-US" w:eastAsia="ja-JP"/>
        </w:rPr>
      </w:pPr>
      <w:r w:rsidRPr="00945843">
        <w:rPr>
          <w:noProof/>
          <w:lang w:val="en-US" w:eastAsia="zh-CN"/>
        </w:rPr>
        <w:t>Infinitesimal model</w:t>
      </w:r>
      <w:r>
        <w:rPr>
          <w:noProof/>
        </w:rPr>
        <w:tab/>
      </w:r>
      <w:r>
        <w:rPr>
          <w:noProof/>
        </w:rPr>
        <w:fldChar w:fldCharType="begin"/>
      </w:r>
      <w:r>
        <w:rPr>
          <w:noProof/>
        </w:rPr>
        <w:instrText xml:space="preserve"> PAGEREF _Toc430943798 \h </w:instrText>
      </w:r>
      <w:r>
        <w:rPr>
          <w:noProof/>
        </w:rPr>
      </w:r>
      <w:r>
        <w:rPr>
          <w:noProof/>
        </w:rPr>
        <w:fldChar w:fldCharType="separate"/>
      </w:r>
      <w:r>
        <w:rPr>
          <w:noProof/>
        </w:rPr>
        <w:t>11</w:t>
      </w:r>
      <w:r>
        <w:rPr>
          <w:noProof/>
        </w:rPr>
        <w:fldChar w:fldCharType="end"/>
      </w:r>
    </w:p>
    <w:p w14:paraId="2A1F3510" w14:textId="77777777" w:rsidR="00495099" w:rsidRDefault="00495099">
      <w:pPr>
        <w:pStyle w:val="TOC3"/>
        <w:tabs>
          <w:tab w:val="right" w:leader="dot" w:pos="10450"/>
        </w:tabs>
        <w:rPr>
          <w:noProof/>
          <w:sz w:val="24"/>
          <w:szCs w:val="24"/>
          <w:lang w:val="en-US" w:eastAsia="ja-JP"/>
        </w:rPr>
      </w:pPr>
      <w:r w:rsidRPr="00945843">
        <w:rPr>
          <w:noProof/>
          <w:lang w:val="en-US" w:eastAsia="zh-CN"/>
        </w:rPr>
        <w:t>Local structure</w:t>
      </w:r>
      <w:r>
        <w:rPr>
          <w:noProof/>
        </w:rPr>
        <w:tab/>
      </w:r>
      <w:r>
        <w:rPr>
          <w:noProof/>
        </w:rPr>
        <w:fldChar w:fldCharType="begin"/>
      </w:r>
      <w:r>
        <w:rPr>
          <w:noProof/>
        </w:rPr>
        <w:instrText xml:space="preserve"> PAGEREF _Toc430943799 \h </w:instrText>
      </w:r>
      <w:r>
        <w:rPr>
          <w:noProof/>
        </w:rPr>
      </w:r>
      <w:r>
        <w:rPr>
          <w:noProof/>
        </w:rPr>
        <w:fldChar w:fldCharType="separate"/>
      </w:r>
      <w:r>
        <w:rPr>
          <w:noProof/>
        </w:rPr>
        <w:t>12</w:t>
      </w:r>
      <w:r>
        <w:rPr>
          <w:noProof/>
        </w:rPr>
        <w:fldChar w:fldCharType="end"/>
      </w:r>
    </w:p>
    <w:p w14:paraId="0A437EB5" w14:textId="77777777" w:rsidR="00495099" w:rsidRDefault="00495099">
      <w:pPr>
        <w:pStyle w:val="TOC1"/>
        <w:tabs>
          <w:tab w:val="right" w:leader="dot" w:pos="10450"/>
        </w:tabs>
        <w:rPr>
          <w:b w:val="0"/>
          <w:noProof/>
          <w:lang w:val="en-US" w:eastAsia="ja-JP"/>
        </w:rPr>
      </w:pPr>
      <w:r w:rsidRPr="00945843">
        <w:rPr>
          <w:noProof/>
          <w:lang w:val="en-US" w:eastAsia="zh-CN"/>
        </w:rPr>
        <w:t>Results</w:t>
      </w:r>
      <w:r>
        <w:rPr>
          <w:noProof/>
        </w:rPr>
        <w:tab/>
      </w:r>
      <w:r>
        <w:rPr>
          <w:noProof/>
        </w:rPr>
        <w:fldChar w:fldCharType="begin"/>
      </w:r>
      <w:r>
        <w:rPr>
          <w:noProof/>
        </w:rPr>
        <w:instrText xml:space="preserve"> PAGEREF _Toc430943800 \h </w:instrText>
      </w:r>
      <w:r>
        <w:rPr>
          <w:noProof/>
        </w:rPr>
      </w:r>
      <w:r>
        <w:rPr>
          <w:noProof/>
        </w:rPr>
        <w:fldChar w:fldCharType="separate"/>
      </w:r>
      <w:r>
        <w:rPr>
          <w:noProof/>
        </w:rPr>
        <w:t>13</w:t>
      </w:r>
      <w:r>
        <w:rPr>
          <w:noProof/>
        </w:rPr>
        <w:fldChar w:fldCharType="end"/>
      </w:r>
    </w:p>
    <w:p w14:paraId="5A609BB3" w14:textId="77777777" w:rsidR="00495099" w:rsidRDefault="00495099">
      <w:pPr>
        <w:pStyle w:val="TOC2"/>
        <w:tabs>
          <w:tab w:val="right" w:leader="dot" w:pos="10450"/>
        </w:tabs>
        <w:rPr>
          <w:b w:val="0"/>
          <w:noProof/>
          <w:sz w:val="24"/>
          <w:szCs w:val="24"/>
          <w:lang w:val="en-US" w:eastAsia="ja-JP"/>
        </w:rPr>
      </w:pPr>
      <w:r w:rsidRPr="00945843">
        <w:rPr>
          <w:noProof/>
          <w:lang w:val="en-US" w:eastAsia="zh-CN"/>
        </w:rPr>
        <w:t>Simulation</w:t>
      </w:r>
      <w:r>
        <w:rPr>
          <w:noProof/>
        </w:rPr>
        <w:tab/>
      </w:r>
      <w:r>
        <w:rPr>
          <w:noProof/>
        </w:rPr>
        <w:fldChar w:fldCharType="begin"/>
      </w:r>
      <w:r>
        <w:rPr>
          <w:noProof/>
        </w:rPr>
        <w:instrText xml:space="preserve"> PAGEREF _Toc430943801 \h </w:instrText>
      </w:r>
      <w:r>
        <w:rPr>
          <w:noProof/>
        </w:rPr>
      </w:r>
      <w:r>
        <w:rPr>
          <w:noProof/>
        </w:rPr>
        <w:fldChar w:fldCharType="separate"/>
      </w:r>
      <w:r>
        <w:rPr>
          <w:noProof/>
        </w:rPr>
        <w:t>13</w:t>
      </w:r>
      <w:r>
        <w:rPr>
          <w:noProof/>
        </w:rPr>
        <w:fldChar w:fldCharType="end"/>
      </w:r>
    </w:p>
    <w:p w14:paraId="474219D6" w14:textId="77777777" w:rsidR="00495099" w:rsidRDefault="00495099">
      <w:pPr>
        <w:pStyle w:val="TOC1"/>
        <w:tabs>
          <w:tab w:val="right" w:leader="dot" w:pos="10450"/>
        </w:tabs>
        <w:rPr>
          <w:b w:val="0"/>
          <w:noProof/>
          <w:lang w:val="en-US" w:eastAsia="ja-JP"/>
        </w:rPr>
      </w:pPr>
      <w:r w:rsidRPr="00945843">
        <w:rPr>
          <w:noProof/>
          <w:lang w:val="en-US" w:eastAsia="zh-CN"/>
        </w:rPr>
        <w:t>Discussion</w:t>
      </w:r>
      <w:r>
        <w:rPr>
          <w:noProof/>
        </w:rPr>
        <w:tab/>
      </w:r>
      <w:r>
        <w:rPr>
          <w:noProof/>
        </w:rPr>
        <w:fldChar w:fldCharType="begin"/>
      </w:r>
      <w:r>
        <w:rPr>
          <w:noProof/>
        </w:rPr>
        <w:instrText xml:space="preserve"> PAGEREF _Toc430943802 \h </w:instrText>
      </w:r>
      <w:r>
        <w:rPr>
          <w:noProof/>
        </w:rPr>
      </w:r>
      <w:r>
        <w:rPr>
          <w:noProof/>
        </w:rPr>
        <w:fldChar w:fldCharType="separate"/>
      </w:r>
      <w:r>
        <w:rPr>
          <w:noProof/>
        </w:rPr>
        <w:t>15</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943784"/>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943785"/>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Haseman-Elston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Haseman-Elston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943786"/>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943787"/>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7A6F8C"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7A6F8C"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61171E34"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1F74DB">
        <w:rPr>
          <w:sz w:val="20"/>
          <w:szCs w:val="20"/>
          <w:lang w:val="en-US" w:eastAsia="zh-CN"/>
        </w:rPr>
        <w:t xml:space="preserve"> </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943788"/>
      <w:r w:rsidRPr="00845C9E">
        <w:rPr>
          <w:lang w:val="en-US" w:eastAsia="zh-CN"/>
        </w:rPr>
        <w:t>Haseman-Elston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r w:rsidRPr="007F193D">
        <w:rPr>
          <w:rFonts w:cs="Times New Roman"/>
          <w:b/>
          <w:sz w:val="20"/>
          <w:szCs w:val="20"/>
        </w:rPr>
        <w:t>Eq 1</w:t>
      </w:r>
      <w:r w:rsidRPr="007F193D">
        <w:rPr>
          <w:rFonts w:cs="Times New Roman"/>
          <w:sz w:val="20"/>
          <w:szCs w:val="20"/>
        </w:rPr>
        <w:t>)</w:t>
      </w:r>
    </w:p>
    <w:p w14:paraId="4CDE96C0" w14:textId="7CC0F26F"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r w:rsidR="00D55FBE">
        <w:rPr>
          <w:rFonts w:cs="Times New Roman"/>
          <w:sz w:val="20"/>
          <w:szCs w:val="20"/>
        </w:rPr>
        <w:t>ents.</w:t>
      </w:r>
      <w:r w:rsidR="001F74DB">
        <w:rPr>
          <w:rFonts w:cs="Times New Roman" w:hint="eastAsia"/>
          <w:sz w:val="20"/>
          <w:szCs w:val="20"/>
          <w:lang w:eastAsia="zh-CN"/>
        </w:rPr>
        <w:t xml:space="preserve"> The </w:t>
      </w:r>
      <w:r w:rsidR="00550415">
        <w:rPr>
          <w:rFonts w:cs="Times New Roman" w:hint="eastAsia"/>
          <w:sz w:val="20"/>
          <w:szCs w:val="20"/>
          <w:lang w:eastAsia="zh-CN"/>
        </w:rPr>
        <w:t xml:space="preserve">variance of </w:t>
      </w:r>
      <m:oMath>
        <m:r>
          <m:rPr>
            <m:scr m:val="script"/>
            <m:sty m:val="bi"/>
          </m:rPr>
          <w:rPr>
            <w:rFonts w:ascii="Cambria Math" w:hAnsi="Cambria Math" w:cs="Times New Roman"/>
            <w:sz w:val="20"/>
            <w:szCs w:val="20"/>
            <w:lang w:val="en-US" w:eastAsia="zh-CN"/>
          </w:rPr>
          <m:t>y</m:t>
        </m:r>
      </m:oMath>
      <w:r w:rsidR="00D55FBE">
        <w:rPr>
          <w:rFonts w:cs="Times New Roman"/>
          <w:sz w:val="20"/>
          <w:szCs w:val="20"/>
        </w:rPr>
        <w:t xml:space="preserve"> </w:t>
      </w:r>
      <w:r w:rsidR="00550415">
        <w:rPr>
          <w:rFonts w:cs="Times New Roman"/>
          <w:sz w:val="20"/>
          <w:szCs w:val="20"/>
        </w:rPr>
        <w:t xml:space="preserve">is </w:t>
      </w:r>
      <m:oMath>
        <m:r>
          <w:rPr>
            <w:rFonts w:ascii="Cambria Math" w:hAnsi="Cambria Math" w:cs="Times New Roman"/>
            <w:sz w:val="20"/>
            <w:szCs w:val="20"/>
          </w:rPr>
          <m:t>8</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m:t>
                </m:r>
                <m:r>
                  <m:rPr>
                    <m:scr m:val="script"/>
                  </m:rPr>
                  <w:rPr>
                    <w:rFonts w:ascii="Cambria Math" w:hAnsi="Cambria Math" w:cs="Times New Roman"/>
                    <w:sz w:val="20"/>
                    <w:szCs w:val="20"/>
                  </w:rPr>
                  <m:t>r</m:t>
                </m:r>
              </m:e>
            </m:d>
          </m:e>
          <m:sup>
            <m:r>
              <w:rPr>
                <w:rFonts w:ascii="Cambria Math" w:hAnsi="Cambria Math" w:cs="Times New Roman"/>
                <w:sz w:val="20"/>
                <w:szCs w:val="20"/>
              </w:rPr>
              <m:t>2</m:t>
            </m:r>
          </m:sup>
        </m:sSup>
      </m:oMath>
      <w:r w:rsidR="00550415">
        <w:rPr>
          <w:rFonts w:cs="Times New Roman"/>
          <w:sz w:val="20"/>
          <w:szCs w:val="20"/>
        </w:rPr>
        <w:t xml:space="preserve">, in which </w:t>
      </w:r>
      <m:oMath>
        <m:r>
          <m:rPr>
            <m:scr m:val="script"/>
          </m:rPr>
          <w:rPr>
            <w:rFonts w:ascii="Cambria Math" w:hAnsi="Cambria Math" w:cs="Times New Roman"/>
            <w:sz w:val="20"/>
            <w:szCs w:val="20"/>
          </w:rPr>
          <m:t>r=</m:t>
        </m:r>
        <m:r>
          <w:rPr>
            <w:rFonts w:ascii="Cambria Math" w:hAnsi="Cambria Math" w:cs="Times New Roman"/>
            <w:sz w:val="20"/>
            <w:szCs w:val="20"/>
          </w:rPr>
          <m:t>Θ</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oMath>
      <w:r w:rsidR="00550415">
        <w:rPr>
          <w:rFonts w:cs="Times New Roman"/>
          <w:sz w:val="20"/>
          <w:szCs w:val="20"/>
        </w:rPr>
        <w:t xml:space="preserve"> is intra-class correlation between the pair of individuals.</w:t>
      </w:r>
      <w:r w:rsidR="00DF4A68">
        <w:rPr>
          <w:rFonts w:cs="Times New Roman"/>
          <w:sz w:val="20"/>
          <w:szCs w:val="20"/>
        </w:rPr>
        <w:t xml:space="preserve"> For unrelated individuals, </w:t>
      </w:r>
      <m:oMath>
        <m:r>
          <w:rPr>
            <w:rFonts w:ascii="Cambria Math" w:hAnsi="Cambria Math" w:cs="Times New Roman"/>
            <w:sz w:val="20"/>
            <w:szCs w:val="20"/>
          </w:rPr>
          <m:t>Θ=0</m:t>
        </m:r>
      </m:oMath>
      <w:r w:rsidR="00DF4A68">
        <w:rPr>
          <w:rFonts w:cs="Times New Roman"/>
          <w:sz w:val="20"/>
          <w:szCs w:val="20"/>
        </w:rPr>
        <w:t xml:space="preserve">, and </w:t>
      </w:r>
      <m:oMath>
        <m:r>
          <w:rPr>
            <w:rFonts w:ascii="Cambria Math" w:hAnsi="Cambria Math" w:cs="Times New Roman"/>
            <w:sz w:val="20"/>
            <w:szCs w:val="20"/>
          </w:rPr>
          <m:t>Θ=0.5</m:t>
        </m:r>
      </m:oMath>
      <w:r w:rsidR="00DF4A68">
        <w:rPr>
          <w:rFonts w:cs="Times New Roman"/>
          <w:sz w:val="20"/>
          <w:szCs w:val="20"/>
        </w:rPr>
        <w:t xml:space="preserve"> for siblings </w:t>
      </w:r>
      <w:r w:rsidR="00DF4A68">
        <w:rPr>
          <w:rFonts w:cs="Times New Roman"/>
          <w:sz w:val="20"/>
          <w:szCs w:val="20"/>
        </w:rPr>
        <w:fldChar w:fldCharType="begin" w:fldLock="1"/>
      </w:r>
      <w:r w:rsidR="00DF4A68">
        <w:rPr>
          <w:rFonts w:cs="Times New Roman"/>
          <w:sz w:val="20"/>
          <w:szCs w:val="20"/>
        </w:rPr>
        <w:instrText>ADDIN CSL_CITATION {"citationItems":[{"id":"ITEM-1","itemData":{"DOI":"10.1086/320593","ISSN":"0002-9297","PMID":"11353401","abstract":"The Haseman-Elston regression method offers a simpler alternative to variance-components (VC) models, for the linkage analysis of quantitative traits. However, even the \"revisited\" method, which uses the cross-product--rather than the squared difference--in sib trait values, is, in general, less powerful than VC models. In this report, we clarify the relative efficiencies of existing Haseman-Elston methods and show how a new Haseman-Elston method can be constructed to have power equivalent to that of VC models. This method uses as the dependent variable a linear combination of squared sums and squared differences, in which the weights are determined by the overall trait correlation between sibs in a population. We show how this method can be used for both the selection of maximally informative sib pairs for genotyping and the subsequent analysis of such selected samples.","author":[{"dropping-particle":"","family":"Sham","given":"P C","non-dropping-particle":"","parse-names":false,"suffix":""},{"dropping-particle":"","family":"Purcell","given":"S","non-dropping-particle":"","parse-names":false,"suffix":""}],"container-title":"American Journal of Human Genetics","id":"ITEM-1","issue":"6","issued":{"date-parts":[["2001","6"]]},"page":"1527-32","title":"Equivalence between Haseman-Elston and variance-components linkage analyses for sib pairs.","type":"article-journal","volume":"68"},"uris":["http://www.mendeley.com/documents/?uuid=6d1ced7a-faaf-471a-9d1a-e5f123b36510"]}],"mendeley":{"formattedCitation":"(Sham and Purcell 2001)","plainTextFormattedCitation":"(Sham and Purcell 2001)"},"properties":{"noteIndex":0},"schema":"https://github.com/citation-style-language/schema/raw/master/csl-citation.json"}</w:instrText>
      </w:r>
      <w:r w:rsidR="00DF4A68">
        <w:rPr>
          <w:rFonts w:cs="Times New Roman"/>
          <w:sz w:val="20"/>
          <w:szCs w:val="20"/>
        </w:rPr>
        <w:fldChar w:fldCharType="separate"/>
      </w:r>
      <w:r w:rsidR="00DF4A68" w:rsidRPr="00DF4A68">
        <w:rPr>
          <w:rFonts w:cs="Times New Roman"/>
          <w:noProof/>
          <w:sz w:val="20"/>
          <w:szCs w:val="20"/>
        </w:rPr>
        <w:t>(Sham and Purcell 2001)</w:t>
      </w:r>
      <w:r w:rsidR="00DF4A68">
        <w:rPr>
          <w:rFonts w:cs="Times New Roman"/>
          <w:sz w:val="20"/>
          <w:szCs w:val="20"/>
        </w:rPr>
        <w:fldChar w:fldCharType="end"/>
      </w:r>
      <w:r w:rsidR="00DF4A68">
        <w:rPr>
          <w:rFonts w:cs="Times New Roman"/>
          <w:sz w:val="20"/>
          <w:szCs w:val="20"/>
        </w:rPr>
        <w:t>.</w:t>
      </w:r>
      <w:r w:rsidR="00550415">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00DF4A68" w:rsidRPr="00DF4A68">
        <w:rPr>
          <w:rFonts w:cs="Times New Roman"/>
          <w:sz w:val="20"/>
          <w:szCs w:val="20"/>
        </w:rPr>
        <w:t>are measured</w:t>
      </w:r>
      <w:r w:rsidR="00DF4A68">
        <w:rPr>
          <w:rFonts w:cs="Times New Roman"/>
          <w:b/>
          <w:sz w:val="20"/>
          <w:szCs w:val="20"/>
        </w:rPr>
        <w:t xml:space="preserve"> </w:t>
      </w:r>
      <w:r w:rsidR="00DF4A68" w:rsidRPr="00DF4A68">
        <w:rPr>
          <w:rFonts w:cs="Times New Roman"/>
          <w:sz w:val="20"/>
          <w:szCs w:val="20"/>
        </w:rPr>
        <w:t>relatedness</w:t>
      </w:r>
      <w:r w:rsidR="00DF4A68">
        <w:rPr>
          <w:rFonts w:cs="Times New Roman"/>
          <w:b/>
          <w:sz w:val="20"/>
          <w:szCs w:val="20"/>
        </w:rPr>
        <w:t xml:space="preserve"> </w:t>
      </w:r>
      <w:r w:rsidR="00DF4A68" w:rsidRPr="00DF4A68">
        <w:rPr>
          <w:rFonts w:cs="Times New Roman"/>
          <w:sz w:val="20"/>
          <w:szCs w:val="20"/>
        </w:rPr>
        <w:t>upon</w:t>
      </w:r>
      <w:r w:rsidR="00DF4A68">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0A509E54"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w</m:t>
            </m:r>
          </m:sub>
        </m:sSub>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2A3ECAC5" w:rsidR="00D55FBE" w:rsidRPr="00DF4A68"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IBD</m:t>
            </m:r>
          </m:sub>
        </m:sSub>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619B2D0" w14:textId="03C1A9FE" w:rsidR="00DF4A68" w:rsidRPr="00B642E4" w:rsidRDefault="00DF4A68" w:rsidP="00B642E4">
      <w:pPr>
        <w:pStyle w:val="ListParagraph"/>
        <w:numPr>
          <w:ilvl w:val="0"/>
          <w:numId w:val="1"/>
        </w:numPr>
        <w:spacing w:line="360" w:lineRule="auto"/>
        <w:rPr>
          <w:rFonts w:cs="Times New Roman"/>
          <w:sz w:val="20"/>
          <w:szCs w:val="20"/>
          <w:lang w:val="en-US" w:eastAsia="zh-CN"/>
        </w:rPr>
      </w:pPr>
      <w:r>
        <w:rPr>
          <w:rFonts w:cs="Times New Roman"/>
          <w:sz w:val="20"/>
          <w:szCs w:val="20"/>
        </w:rPr>
        <w:t xml:space="preserve">For sib pair design,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
              </m:rPr>
              <w:rPr>
                <w:rFonts w:ascii="Cambria Math" w:hAnsi="Cambria Math" w:cs="Times New Roman"/>
                <w:sz w:val="20"/>
                <w:szCs w:val="20"/>
              </w:rPr>
              <m:t>ped.IBS</m:t>
            </m:r>
          </m:sub>
        </m:sSub>
      </m:oMath>
      <w:r w:rsidR="0079652F" w:rsidRPr="0079652F">
        <w:rPr>
          <w:rFonts w:cs="Times New Roman"/>
          <w:sz w:val="20"/>
          <w:szCs w:val="20"/>
        </w:rPr>
        <w:t xml:space="preserve"> </w:t>
      </w:r>
      <w:r w:rsidR="0079652F">
        <w:rPr>
          <w:rFonts w:cs="Times New Roman"/>
          <w:sz w:val="20"/>
          <w:szCs w:val="20"/>
        </w:rPr>
        <w:t>the relatedness is constructed on IBS</w:t>
      </w:r>
      <w:r w:rsidR="00E50503">
        <w:rPr>
          <w:rFonts w:cs="Times New Roman"/>
          <w:sz w:val="20"/>
          <w:szCs w:val="20"/>
        </w:rPr>
        <w:t>, as that for unrelated samples.</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i)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943789"/>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17F76E62" w:rsidR="00C313C8" w:rsidRPr="00C313C8" w:rsidRDefault="00C70C9C" w:rsidP="00C313C8">
      <w:pPr>
        <w:pStyle w:val="Heading3"/>
        <w:rPr>
          <w:sz w:val="26"/>
          <w:szCs w:val="26"/>
          <w:lang w:val="en-US" w:eastAsia="zh-CN"/>
        </w:rPr>
      </w:pPr>
      <w:bookmarkStart w:id="6" w:name="_Toc430943790"/>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t>
      </w:r>
      <w:r w:rsidR="00867D57">
        <w:rPr>
          <w:lang w:val="en-US" w:eastAsia="zh-CN"/>
        </w:rPr>
        <w:t>classic GRM</w:t>
      </w:r>
      <w:r w:rsidR="00861AEB">
        <w:rPr>
          <w:lang w:val="en-US" w:eastAsia="zh-CN"/>
        </w:rPr>
        <w:t>)</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7A6F8C"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r w:rsidR="000B2CBB" w:rsidRPr="00D26798">
        <w:rPr>
          <w:rFonts w:cs="Times New Roman"/>
          <w:b/>
          <w:sz w:val="20"/>
          <w:szCs w:val="20"/>
          <w:lang w:val="en-US"/>
        </w:rPr>
        <w:t>Eq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r w:rsidR="007911CF" w:rsidRPr="007911CF">
        <w:rPr>
          <w:b/>
          <w:sz w:val="20"/>
          <w:szCs w:val="20"/>
        </w:rPr>
        <w:t>Eq</w:t>
      </w:r>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7A6F8C"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r w:rsidR="007911CF" w:rsidRPr="007911CF">
        <w:rPr>
          <w:b/>
          <w:sz w:val="20"/>
          <w:szCs w:val="20"/>
          <w:lang w:val="en-US" w:eastAsia="zh-CN"/>
        </w:rPr>
        <w:t>Eq</w:t>
      </w:r>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7A6F8C"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7A6F8C"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475D274C" w:rsidR="00861AEB" w:rsidRPr="00C313C8" w:rsidRDefault="00861AEB" w:rsidP="00861AEB">
      <w:pPr>
        <w:pStyle w:val="Heading3"/>
        <w:rPr>
          <w:sz w:val="26"/>
          <w:szCs w:val="26"/>
          <w:lang w:val="en-US" w:eastAsia="zh-CN"/>
        </w:rPr>
      </w:pPr>
      <w:bookmarkStart w:id="7" w:name="_Toc430943791"/>
      <w:r>
        <w:rPr>
          <w:lang w:val="en-US" w:eastAsia="zh-CN"/>
        </w:rPr>
        <w:t>Additive SNP-heritability for</w:t>
      </w:r>
      <w:r w:rsidR="00867D57">
        <w:rPr>
          <w:lang w:val="en-US" w:eastAsia="zh-CN"/>
        </w:rPr>
        <w:t xml:space="preserve"> unrelated samples (robust GRM</w:t>
      </w:r>
      <w:r>
        <w:rPr>
          <w:lang w:val="en-US" w:eastAsia="zh-CN"/>
        </w:rPr>
        <w:t>)</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483974B1" w:rsidR="00BF12EF" w:rsidRPr="00D26798" w:rsidRDefault="007A6F8C"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sSup>
              <m:sSupPr>
                <m:ctrlPr>
                  <w:rPr>
                    <w:rFonts w:ascii="Cambria Math" w:hAnsi="Cambria Math" w:cs="Times New Roman"/>
                    <w:i/>
                    <w:sz w:val="20"/>
                    <w:szCs w:val="20"/>
                    <w:lang w:val="en-US"/>
                  </w:rPr>
                </m:ctrlPr>
              </m:sSupPr>
              <m:e>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e>
              <m:sup>
                <m:r>
                  <w:rPr>
                    <w:rFonts w:ascii="Cambria Math" w:hAnsi="Cambria Math" w:cs="Times New Roman"/>
                    <w:sz w:val="20"/>
                    <w:szCs w:val="20"/>
                    <w:lang w:val="en-US"/>
                  </w:rPr>
                  <m:t>2</m:t>
                </m:r>
              </m:sup>
            </m:sSup>
          </m:den>
        </m:f>
      </m:oMath>
      <w:r w:rsidR="00BF12EF" w:rsidRPr="00D26798">
        <w:rPr>
          <w:rFonts w:cs="Times New Roman"/>
          <w:sz w:val="20"/>
          <w:szCs w:val="20"/>
          <w:lang w:val="en-US"/>
        </w:rPr>
        <w:t xml:space="preserve"> (</w:t>
      </w:r>
      <w:r w:rsidR="00BF12EF" w:rsidRPr="00D26798">
        <w:rPr>
          <w:rFonts w:cs="Times New Roman"/>
          <w:b/>
          <w:sz w:val="20"/>
          <w:szCs w:val="20"/>
          <w:lang w:val="en-US"/>
        </w:rPr>
        <w:t xml:space="preserve">Eq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7A6F8C"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r w:rsidR="00463FAD" w:rsidRPr="00463FAD">
        <w:rPr>
          <w:b/>
          <w:sz w:val="20"/>
          <w:szCs w:val="20"/>
          <w:lang w:val="en-US" w:eastAsia="zh-CN"/>
        </w:rPr>
        <w:t>Eq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943792"/>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7A6F8C"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r w:rsidR="00954F3E" w:rsidRPr="00954F3E">
        <w:rPr>
          <w:b/>
          <w:sz w:val="20"/>
          <w:szCs w:val="20"/>
          <w:lang w:val="en-US"/>
        </w:rPr>
        <w:t>Eq 7</w:t>
      </w:r>
      <w:r w:rsidR="00954F3E">
        <w:rPr>
          <w:sz w:val="20"/>
          <w:szCs w:val="20"/>
          <w:lang w:val="en-US"/>
        </w:rPr>
        <w:t>)</w:t>
      </w:r>
    </w:p>
    <w:p w14:paraId="0177F125" w14:textId="29BCADCA"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7A6F8C"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r w:rsidR="00954F3E" w:rsidRPr="00954F3E">
        <w:rPr>
          <w:b/>
          <w:sz w:val="20"/>
          <w:szCs w:val="20"/>
          <w:lang w:val="en-US" w:eastAsia="zh-CN"/>
        </w:rPr>
        <w:t>Eq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7A6F8C"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7B6A31D4" w14:textId="4E93DA40" w:rsidR="00B80114" w:rsidRPr="00D42EAD" w:rsidRDefault="007A6F8C" w:rsidP="00176001">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7A6F8C"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r w:rsidR="00CE04C2" w:rsidRPr="00954F3E">
        <w:rPr>
          <w:b/>
          <w:sz w:val="20"/>
          <w:szCs w:val="20"/>
          <w:lang w:val="en-US" w:eastAsia="zh-CN"/>
        </w:rPr>
        <w:t xml:space="preserve">Eq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943793"/>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943794"/>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7A6F8C"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r w:rsidR="00692B00" w:rsidRPr="00692B00">
        <w:rPr>
          <w:b/>
          <w:sz w:val="20"/>
          <w:szCs w:val="20"/>
          <w:lang w:val="en-US" w:eastAsia="zh-CN"/>
        </w:rPr>
        <w:t>Eq 10</w:t>
      </w:r>
      <w:r w:rsidR="00692B00">
        <w:rPr>
          <w:sz w:val="20"/>
          <w:szCs w:val="20"/>
          <w:lang w:val="en-US" w:eastAsia="zh-CN"/>
        </w:rPr>
        <w:t>)</w:t>
      </w:r>
    </w:p>
    <w:p w14:paraId="478F3287" w14:textId="2705F4B0"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125538">
        <w:rPr>
          <w:sz w:val="20"/>
          <w:szCs w:val="20"/>
          <w:lang w:val="en-US" w:eastAsia="zh-CN"/>
        </w:rPr>
        <w:t>As expected, the averaged IBD</w:t>
      </w:r>
      <w:r w:rsidR="00216561" w:rsidRPr="007F51CE">
        <w:rPr>
          <w:sz w:val="20"/>
          <w:szCs w:val="20"/>
          <w:lang w:val="en-US" w:eastAsia="zh-CN"/>
        </w:rPr>
        <w:t xml:space="preserve"> is </w:t>
      </w:r>
      <w:r w:rsidR="00120E47">
        <w:rPr>
          <w:sz w:val="20"/>
          <w:szCs w:val="20"/>
          <w:lang w:val="en-US" w:eastAsia="zh-CN"/>
        </w:rPr>
        <w:t>0.5 for sibling</w:t>
      </w:r>
      <w:r w:rsidR="00272EEC" w:rsidRPr="007F51CE">
        <w:rPr>
          <w:sz w:val="20"/>
          <w:szCs w:val="20"/>
          <w:lang w:val="en-US" w:eastAsia="zh-CN"/>
        </w:rPr>
        <w:t>.</w:t>
      </w:r>
      <w:r w:rsidR="00473A34">
        <w:rPr>
          <w:sz w:val="20"/>
          <w:szCs w:val="20"/>
          <w:lang w:val="en-US" w:eastAsia="zh-CN"/>
        </w:rPr>
        <w:t xml:space="preserve"> Fitting IBD into Eq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48F13AC2" w14:textId="77777777" w:rsidR="00203635"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w:p>
    <w:p w14:paraId="16C0D523" w14:textId="068B808F" w:rsidR="00203635" w:rsidRDefault="00E86D58"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203635">
        <w:rPr>
          <w:rFonts w:cs="Times New Roman"/>
          <w:sz w:val="20"/>
          <w:szCs w:val="20"/>
          <w:lang w:val="en-US"/>
        </w:rPr>
        <w:t xml:space="preserve"> (</w:t>
      </w:r>
      <w:r w:rsidR="00203635" w:rsidRPr="00203635">
        <w:rPr>
          <w:rFonts w:cs="Times New Roman"/>
          <w:b/>
          <w:sz w:val="20"/>
          <w:szCs w:val="20"/>
          <w:lang w:val="en-US"/>
        </w:rPr>
        <w:t>Eq 11</w:t>
      </w:r>
      <w:r w:rsidR="00203635">
        <w:rPr>
          <w:rFonts w:cs="Times New Roman"/>
          <w:sz w:val="20"/>
          <w:szCs w:val="20"/>
          <w:lang w:val="en-US"/>
        </w:rPr>
        <w:t>)</w:t>
      </w:r>
    </w:p>
    <w:p w14:paraId="1C17B1E5" w14:textId="7EBD5C07" w:rsidR="0068372F" w:rsidRPr="007F51CE" w:rsidRDefault="00EF3394" w:rsidP="00226753">
      <w:pPr>
        <w:spacing w:line="360" w:lineRule="auto"/>
        <w:rPr>
          <w:rFonts w:cs="Times New Roman"/>
          <w:sz w:val="20"/>
          <w:szCs w:val="20"/>
          <w:lang w:val="en-US"/>
        </w:rPr>
      </w:pPr>
      <w:r w:rsidRPr="007F51CE">
        <w:rPr>
          <w:rFonts w:cs="Times New Roman"/>
          <w:sz w:val="20"/>
          <w:szCs w:val="20"/>
          <w:lang w:val="en-US"/>
        </w:rPr>
        <w:t>please refer to Eq 22 in the original HE paper</w:t>
      </w:r>
      <w:r w:rsidR="004C4215">
        <w:rPr>
          <w:rFonts w:cs="Times New Roman"/>
          <w:sz w:val="20"/>
          <w:szCs w:val="20"/>
          <w:lang w:val="en-US"/>
        </w:rPr>
        <w:t xml:space="preserve"> </w:t>
      </w:r>
      <w:r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0D8CA1B3" w14:textId="77BAEF77" w:rsidR="00203635" w:rsidRDefault="00EB3F82" w:rsidP="00203635">
      <w:pPr>
        <w:spacing w:line="360" w:lineRule="auto"/>
        <w:jc w:val="center"/>
        <w:rPr>
          <w:rFonts w:cs="Times New Roman"/>
          <w:sz w:val="20"/>
          <w:szCs w:val="20"/>
          <w:lang w:val="en-US"/>
        </w:rPr>
      </w:pP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w:r w:rsidR="00203635">
        <w:rPr>
          <w:rFonts w:cs="Times New Roman"/>
          <w:sz w:val="20"/>
          <w:szCs w:val="20"/>
          <w:lang w:val="en-US"/>
        </w:rPr>
        <w:t xml:space="preserve"> (</w:t>
      </w:r>
      <w:r w:rsidR="00203635" w:rsidRPr="00203635">
        <w:rPr>
          <w:rFonts w:cs="Times New Roman"/>
          <w:b/>
          <w:sz w:val="20"/>
          <w:szCs w:val="20"/>
          <w:lang w:val="en-US"/>
        </w:rPr>
        <w:t>Eq 12</w:t>
      </w:r>
      <w:r w:rsidR="00203635">
        <w:rPr>
          <w:rFonts w:cs="Times New Roman"/>
          <w:sz w:val="20"/>
          <w:szCs w:val="20"/>
          <w:lang w:val="en-US"/>
        </w:rPr>
        <w:t>)</w:t>
      </w:r>
    </w:p>
    <w:p w14:paraId="7D2115DA" w14:textId="75A39CAE"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w:t>
      </w:r>
      <w:r w:rsidR="00203635">
        <w:rPr>
          <w:rFonts w:cs="Times New Roman"/>
          <w:sz w:val="20"/>
          <w:szCs w:val="20"/>
          <w:lang w:val="en-US"/>
        </w:rPr>
        <w:t xml:space="preserve">Eq 12 is a generalization for Eq 11 but is reduced to Eq 11when there is no LD between any pair of causal loci. </w:t>
      </w:r>
      <w:r w:rsidR="004C4215">
        <w:rPr>
          <w:rFonts w:cs="Times New Roman"/>
          <w:sz w:val="20"/>
          <w:szCs w:val="20"/>
          <w:lang w:val="en-US"/>
        </w:rPr>
        <w:t xml:space="preserve">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6FF8018F" w14:textId="7DC0ABCE" w:rsidR="00E150BF" w:rsidRPr="00DC7187" w:rsidRDefault="007A6F8C" w:rsidP="00DC7187">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203635">
        <w:rPr>
          <w:b/>
          <w:sz w:val="20"/>
          <w:szCs w:val="20"/>
          <w:lang w:val="en-US" w:eastAsia="zh-CN"/>
        </w:rPr>
        <w:t>(Eq 13</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7A6F8C"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316EC795" w:rsidR="00B80114" w:rsidRDefault="00A91F85" w:rsidP="00272EEC">
      <w:pPr>
        <w:spacing w:line="480" w:lineRule="auto"/>
        <w:rPr>
          <w:sz w:val="20"/>
          <w:szCs w:val="20"/>
          <w:lang w:val="en-US" w:eastAsia="zh-CN"/>
        </w:rPr>
      </w:pPr>
      <w:r>
        <w:rPr>
          <w:sz w:val="20"/>
          <w:szCs w:val="20"/>
          <w:lang w:val="en-US" w:eastAsia="zh-CN"/>
        </w:rPr>
        <w:t xml:space="preserve">Obviously, </w:t>
      </w:r>
      <w:r w:rsidR="004D42C9">
        <w:rPr>
          <w:sz w:val="20"/>
          <w:szCs w:val="20"/>
          <w:lang w:val="en-US" w:eastAsia="zh-CN"/>
        </w:rPr>
        <w:t>the</w:t>
      </w:r>
      <w:r w:rsidR="0023077C">
        <w:rPr>
          <w:sz w:val="20"/>
          <w:szCs w:val="20"/>
          <w:lang w:val="en-US" w:eastAsia="zh-CN"/>
        </w:rPr>
        <w:t xml:space="preserve"> denominator can be expressed as below,</w:t>
      </w:r>
    </w:p>
    <w:p w14:paraId="05BA3757" w14:textId="62B9D421" w:rsidR="00B80114" w:rsidRDefault="007A6F8C"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7A6F8C" w:rsidP="00C626CA">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00BD2706"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-4d</m:t>
            </m:r>
          </m:sup>
        </m:sSup>
      </m:oMath>
      <w:r w:rsidR="001E220A">
        <w:rPr>
          <w:sz w:val="20"/>
          <w:szCs w:val="20"/>
          <w:lang w:val="en-US" w:eastAsia="zh-CN"/>
        </w:rPr>
        <w:t xml:space="preserve"> can be further specified</w:t>
      </w:r>
      <w:r w:rsidR="007F1F48">
        <w:rPr>
          <w:sz w:val="20"/>
          <w:szCs w:val="20"/>
          <w:lang w:val="en-US" w:eastAsia="zh-CN"/>
        </w:rPr>
        <w:t xml:space="preserve">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different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0943795"/>
      <w:r>
        <w:rPr>
          <w:lang w:val="en-US" w:eastAsia="zh-CN"/>
        </w:rPr>
        <w:t>Dominance SNP-heritability for sib pair design</w:t>
      </w:r>
      <w:bookmarkEnd w:id="11"/>
    </w:p>
    <w:p w14:paraId="24874796" w14:textId="200E07EB"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w:t>
      </w:r>
      <w:r w:rsidR="008747AC">
        <w:rPr>
          <w:sz w:val="20"/>
          <w:szCs w:val="20"/>
          <w:lang w:val="en-US" w:eastAsia="zh-CN"/>
        </w:rPr>
        <w:t xml:space="preserve"> but the IBD sharing is measured for have two alleles, </w:t>
      </w:r>
      <w:r w:rsidRPr="007F51CE">
        <w:rPr>
          <w:sz w:val="20"/>
          <w:szCs w:val="20"/>
          <w:lang w:val="en-US" w:eastAsia="zh-CN"/>
        </w:rPr>
        <w:t>and it can be expressed as</w:t>
      </w:r>
    </w:p>
    <w:p w14:paraId="34A6E664" w14:textId="0C5F47C2" w:rsidR="001B6D9A" w:rsidRDefault="007A6F8C"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7A6F8C"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lang w:val="en-US" w:eastAsia="zh-CN"/>
        </w:rPr>
      </w:pPr>
    </w:p>
    <w:p w14:paraId="656451E9" w14:textId="061C0B61" w:rsidR="00602CF9" w:rsidRPr="00C24183" w:rsidRDefault="00602CF9" w:rsidP="00116290">
      <w:pPr>
        <w:spacing w:line="360" w:lineRule="auto"/>
        <w:rPr>
          <w:sz w:val="20"/>
          <w:szCs w:val="20"/>
          <w:lang w:val="en-US" w:eastAsia="zh-CN"/>
        </w:rPr>
      </w:pPr>
    </w:p>
    <w:p w14:paraId="4AB62A0E" w14:textId="648BC7EB" w:rsidR="00DA2676" w:rsidRDefault="00DA2676" w:rsidP="00764EE2">
      <w:pPr>
        <w:pStyle w:val="Heading2"/>
        <w:rPr>
          <w:lang w:val="en-US" w:eastAsia="zh-CN"/>
        </w:rPr>
      </w:pPr>
      <w:bookmarkStart w:id="12" w:name="_Toc430943797"/>
      <w:r>
        <w:rPr>
          <w:lang w:val="en-US" w:eastAsia="zh-CN"/>
        </w:rPr>
        <w:t>Genetic architecture</w:t>
      </w:r>
      <w:bookmarkEnd w:id="12"/>
    </w:p>
    <w:p w14:paraId="5D1E2DDE" w14:textId="354A4CB8" w:rsidR="00480690" w:rsidRDefault="00480690" w:rsidP="00480690">
      <w:pPr>
        <w:pStyle w:val="Heading3"/>
        <w:rPr>
          <w:lang w:val="en-US" w:eastAsia="zh-CN"/>
        </w:rPr>
      </w:pPr>
      <w:bookmarkStart w:id="13" w:name="_Toc430943798"/>
      <w:r>
        <w:rPr>
          <w:lang w:val="en-US" w:eastAsia="zh-CN"/>
        </w:rPr>
        <w:t>Infinitesimal model</w:t>
      </w:r>
      <w:bookmarkEnd w:id="13"/>
    </w:p>
    <w:p w14:paraId="61000262" w14:textId="27B0FB3B" w:rsidR="00923F9D" w:rsidRPr="007F51CE" w:rsidRDefault="00923F9D" w:rsidP="0071474F">
      <w:pPr>
        <w:spacing w:line="360" w:lineRule="auto"/>
        <w:rPr>
          <w:sz w:val="20"/>
          <w:szCs w:val="20"/>
          <w:lang w:val="en-US" w:eastAsia="zh-CN"/>
        </w:rPr>
      </w:pPr>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7A6F8C"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(Eq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7A6F8C"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(Eq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7A0E3ED4" w:rsidR="00480690" w:rsidRDefault="00D91C4C" w:rsidP="00480690">
      <w:pPr>
        <w:pStyle w:val="Heading3"/>
        <w:rPr>
          <w:rFonts w:hint="eastAsia"/>
          <w:lang w:val="en-US" w:eastAsia="zh-CN"/>
        </w:rPr>
      </w:pPr>
      <w:bookmarkStart w:id="14" w:name="_Toc430943799"/>
      <w:r>
        <w:rPr>
          <w:rFonts w:hint="eastAsia"/>
          <w:lang w:val="en-US" w:eastAsia="zh-CN"/>
        </w:rPr>
        <w:t>Counterexamples</w:t>
      </w:r>
      <w:bookmarkEnd w:id="14"/>
    </w:p>
    <w:p w14:paraId="45D84DB1" w14:textId="3EA40D96" w:rsidR="00D91C4C" w:rsidRDefault="00E27F04" w:rsidP="000014C5">
      <w:pPr>
        <w:spacing w:line="360" w:lineRule="auto"/>
        <w:rPr>
          <w:rFonts w:hint="eastAsia"/>
          <w:sz w:val="20"/>
          <w:szCs w:val="20"/>
          <w:lang w:val="en-US" w:eastAsia="zh-CN"/>
        </w:rPr>
      </w:pPr>
      <w:r>
        <w:rPr>
          <w:rFonts w:hint="eastAsia"/>
          <w:sz w:val="20"/>
          <w:szCs w:val="20"/>
          <w:lang w:val="en-US" w:eastAsia="zh-CN"/>
        </w:rPr>
        <w:t xml:space="preserve">Although in the </w:t>
      </w:r>
      <w:r>
        <w:rPr>
          <w:sz w:val="20"/>
          <w:szCs w:val="20"/>
          <w:lang w:val="en-US" w:eastAsia="zh-CN"/>
        </w:rPr>
        <w:t>example</w:t>
      </w:r>
      <w:r>
        <w:rPr>
          <w:rFonts w:hint="eastAsia"/>
          <w:sz w:val="20"/>
          <w:szCs w:val="20"/>
          <w:lang w:val="en-US" w:eastAsia="zh-CN"/>
        </w:rPr>
        <w:t xml:space="preserve"> discussed above, it is easy to </w:t>
      </w:r>
      <w:r>
        <w:rPr>
          <w:sz w:val="20"/>
          <w:szCs w:val="20"/>
          <w:lang w:val="en-US" w:eastAsia="zh-CN"/>
        </w:rPr>
        <w:t>conclude</w:t>
      </w:r>
      <w:r>
        <w:rPr>
          <w:rFonts w:hint="eastAsia"/>
          <w:sz w:val="20"/>
          <w:szCs w:val="20"/>
          <w:lang w:val="en-US" w:eastAsia="zh-CN"/>
        </w:rPr>
        <w:t xml:space="preserve"> that the </w:t>
      </w:r>
      <w:r>
        <w:rPr>
          <w:sz w:val="20"/>
          <w:szCs w:val="20"/>
          <w:lang w:val="en-US" w:eastAsia="zh-CN"/>
        </w:rPr>
        <w:t>estimate</w:t>
      </w:r>
      <w:r>
        <w:rPr>
          <w:rFonts w:hint="eastAsia"/>
          <w:sz w:val="20"/>
          <w:szCs w:val="20"/>
          <w:lang w:val="en-US" w:eastAsia="zh-CN"/>
        </w:rPr>
        <w:t xml:space="preserve">d </w:t>
      </w:r>
      <w:r>
        <w:rPr>
          <w:sz w:val="20"/>
          <w:szCs w:val="20"/>
          <w:lang w:val="en-US" w:eastAsia="zh-CN"/>
        </w:rPr>
        <w:t>heritability</w:t>
      </w:r>
      <w:r>
        <w:rPr>
          <w:rFonts w:hint="eastAsia"/>
          <w:sz w:val="20"/>
          <w:szCs w:val="20"/>
          <w:lang w:val="en-US" w:eastAsia="zh-CN"/>
        </w:rPr>
        <w:t xml:space="preserve"> will be </w:t>
      </w:r>
      <w:r>
        <w:rPr>
          <w:sz w:val="20"/>
          <w:szCs w:val="20"/>
          <w:lang w:val="en-US" w:eastAsia="zh-CN"/>
        </w:rPr>
        <w:t>small</w:t>
      </w:r>
      <w:r>
        <w:rPr>
          <w:rFonts w:hint="eastAsia"/>
          <w:sz w:val="20"/>
          <w:szCs w:val="20"/>
          <w:lang w:val="en-US" w:eastAsia="zh-CN"/>
        </w:rPr>
        <w:t xml:space="preserve">er than the true </w:t>
      </w:r>
      <w:r>
        <w:rPr>
          <w:sz w:val="20"/>
          <w:szCs w:val="20"/>
          <w:lang w:val="en-US" w:eastAsia="zh-CN"/>
        </w:rPr>
        <w:t>heritability</w:t>
      </w:r>
      <w:r w:rsidR="000014C5">
        <w:rPr>
          <w:rFonts w:hint="eastAsia"/>
          <w:sz w:val="20"/>
          <w:szCs w:val="20"/>
          <w:lang w:val="en-US" w:eastAsia="zh-CN"/>
        </w:rPr>
        <w:t xml:space="preserv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000014C5">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rFonts w:hint="eastAsia"/>
          <w:sz w:val="20"/>
          <w:szCs w:val="20"/>
          <w:lang w:val="en-US" w:eastAsia="zh-CN"/>
        </w:rPr>
        <w:t xml:space="preserve">, a </w:t>
      </w:r>
      <w:r>
        <w:rPr>
          <w:sz w:val="20"/>
          <w:szCs w:val="20"/>
          <w:lang w:val="en-US" w:eastAsia="zh-CN"/>
        </w:rPr>
        <w:t>condition</w:t>
      </w:r>
      <w:r>
        <w:rPr>
          <w:rFonts w:hint="eastAsia"/>
          <w:sz w:val="20"/>
          <w:szCs w:val="20"/>
          <w:lang w:val="en-US" w:eastAsia="zh-CN"/>
        </w:rPr>
        <w:t xml:space="preserve"> that is </w:t>
      </w:r>
      <w:r>
        <w:rPr>
          <w:sz w:val="20"/>
          <w:szCs w:val="20"/>
          <w:lang w:val="en-US" w:eastAsia="zh-CN"/>
        </w:rPr>
        <w:t>require</w:t>
      </w:r>
      <w:r>
        <w:rPr>
          <w:rFonts w:hint="eastAsia"/>
          <w:sz w:val="20"/>
          <w:szCs w:val="20"/>
          <w:lang w:val="en-US" w:eastAsia="zh-CN"/>
        </w:rPr>
        <w:t xml:space="preserve">d for </w:t>
      </w:r>
      <w:r>
        <w:rPr>
          <w:sz w:val="20"/>
          <w:szCs w:val="20"/>
          <w:lang w:val="en-US" w:eastAsia="zh-CN"/>
        </w:rPr>
        <w:t>“missing</w:t>
      </w:r>
      <w:r>
        <w:rPr>
          <w:rFonts w:hint="eastAsia"/>
          <w:sz w:val="20"/>
          <w:szCs w:val="20"/>
          <w:lang w:val="en-US" w:eastAsia="zh-CN"/>
        </w:rPr>
        <w:t xml:space="preserve"> </w:t>
      </w:r>
      <w:r>
        <w:rPr>
          <w:sz w:val="20"/>
          <w:szCs w:val="20"/>
          <w:lang w:val="en-US" w:eastAsia="zh-CN"/>
        </w:rPr>
        <w:t>heritability”</w:t>
      </w:r>
      <w:r>
        <w:rPr>
          <w:rFonts w:hint="eastAsia"/>
          <w:sz w:val="20"/>
          <w:szCs w:val="20"/>
          <w:lang w:val="en-US" w:eastAsia="zh-CN"/>
        </w:rPr>
        <w:t xml:space="preserve"> problem, but </w:t>
      </w:r>
      <w:r>
        <w:rPr>
          <w:sz w:val="20"/>
          <w:szCs w:val="20"/>
          <w:lang w:val="en-US" w:eastAsia="zh-CN"/>
        </w:rPr>
        <w:t>counterexample</w:t>
      </w:r>
      <w:r w:rsidR="000014C5">
        <w:rPr>
          <w:rFonts w:hint="eastAsia"/>
          <w:sz w:val="20"/>
          <w:szCs w:val="20"/>
          <w:lang w:val="en-US" w:eastAsia="zh-CN"/>
        </w:rPr>
        <w:t xml:space="preserve">s can be found in two ways. The </w:t>
      </w:r>
      <w:r w:rsidR="000014C5">
        <w:rPr>
          <w:sz w:val="20"/>
          <w:szCs w:val="20"/>
          <w:lang w:val="en-US" w:eastAsia="zh-CN"/>
        </w:rPr>
        <w:t>counterexample</w:t>
      </w:r>
      <w:r w:rsidR="000014C5">
        <w:rPr>
          <w:rFonts w:hint="eastAsia"/>
          <w:sz w:val="20"/>
          <w:szCs w:val="20"/>
          <w:lang w:val="en-US" w:eastAsia="zh-CN"/>
        </w:rPr>
        <w:t>s can be constructed in two levels.</w:t>
      </w:r>
    </w:p>
    <w:p w14:paraId="15CD4011" w14:textId="5FC4DC8E" w:rsidR="00D114BB" w:rsidRDefault="00D114BB" w:rsidP="000014C5">
      <w:pPr>
        <w:spacing w:line="360" w:lineRule="auto"/>
        <w:rPr>
          <w:sz w:val="20"/>
          <w:szCs w:val="20"/>
          <w:lang w:val="en-US" w:eastAsia="zh-CN"/>
        </w:rPr>
      </w:pPr>
    </w:p>
    <w:p w14:paraId="2F796AE9" w14:textId="66E9092E" w:rsidR="000014C5" w:rsidRDefault="000014C5" w:rsidP="000014C5">
      <w:pPr>
        <w:spacing w:line="36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can be easily violated if we focus on the local structure,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Pr>
          <w:sz w:val="20"/>
          <w:szCs w:val="20"/>
          <w:lang w:val="en-US" w:eastAsia="zh-CN"/>
        </w:rPr>
        <w:t xml:space="preserve"> can be found as in </w:t>
      </w:r>
      <w:r w:rsidR="001E6208">
        <w:rPr>
          <w:sz w:val="20"/>
          <w:szCs w:val="20"/>
          <w:highlight w:val="magenta"/>
          <w:lang w:val="en-US" w:eastAsia="zh-CN"/>
        </w:rPr>
        <w:t>simulation 1</w:t>
      </w:r>
      <w:r>
        <w:rPr>
          <w:sz w:val="20"/>
          <w:szCs w:val="20"/>
          <w:lang w:val="en-US" w:eastAsia="zh-CN"/>
        </w:rPr>
        <w:t>.</w:t>
      </w:r>
    </w:p>
    <w:p w14:paraId="62B83768" w14:textId="77777777" w:rsidR="000014C5" w:rsidRDefault="000014C5" w:rsidP="000014C5">
      <w:pPr>
        <w:spacing w:line="360" w:lineRule="auto"/>
        <w:rPr>
          <w:sz w:val="20"/>
          <w:szCs w:val="20"/>
          <w:lang w:val="en-US" w:eastAsia="zh-CN"/>
        </w:rPr>
      </w:pPr>
    </w:p>
    <w:p w14:paraId="6E37FFA7" w14:textId="75D22070" w:rsidR="000014C5" w:rsidRDefault="000014C5" w:rsidP="000014C5">
      <w:pPr>
        <w:spacing w:line="360" w:lineRule="auto"/>
        <w:rPr>
          <w:sz w:val="20"/>
          <w:szCs w:val="20"/>
          <w:lang w:val="en-US" w:eastAsia="zh-CN"/>
        </w:rPr>
      </w:pPr>
      <w:r>
        <w:rPr>
          <w:sz w:val="20"/>
          <w:szCs w:val="20"/>
          <w:lang w:val="en-US" w:eastAsia="zh-CN"/>
        </w:rPr>
        <w:t xml:space="preserve">In addition,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Pr>
          <w:sz w:val="20"/>
          <w:szCs w:val="20"/>
          <w:lang w:val="en-US" w:eastAsia="zh-CN"/>
        </w:rPr>
        <w:t>, albeit pathological probably, can be constructed too.</w:t>
      </w:r>
      <w:r w:rsidR="001E6208">
        <w:rPr>
          <w:sz w:val="20"/>
          <w:szCs w:val="20"/>
          <w:lang w:val="en-US" w:eastAsia="zh-CN"/>
        </w:rPr>
        <w:t xml:space="preserve"> </w:t>
      </w:r>
      <w:r w:rsidR="001E6208" w:rsidRPr="001E6208">
        <w:rPr>
          <w:sz w:val="20"/>
          <w:szCs w:val="20"/>
          <w:highlight w:val="magenta"/>
          <w:lang w:val="en-US" w:eastAsia="zh-CN"/>
        </w:rPr>
        <w:t>See simulation 2</w:t>
      </w:r>
      <w:r>
        <w:rPr>
          <w:sz w:val="20"/>
          <w:szCs w:val="20"/>
          <w:lang w:val="en-US" w:eastAsia="zh-CN"/>
        </w:rPr>
        <w:t>.</w:t>
      </w:r>
    </w:p>
    <w:p w14:paraId="149DD63E" w14:textId="77777777" w:rsidR="000014C5" w:rsidRPr="007F51CE" w:rsidRDefault="000014C5" w:rsidP="000014C5">
      <w:pPr>
        <w:spacing w:line="360" w:lineRule="auto"/>
        <w:rPr>
          <w:rFonts w:hint="eastAsia"/>
          <w:sz w:val="20"/>
          <w:szCs w:val="20"/>
          <w:lang w:val="en-US" w:eastAsia="zh-CN"/>
        </w:rPr>
      </w:pP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Eq 3 and Eq 4 can be reduced to </w:t>
      </w:r>
    </w:p>
    <w:p w14:paraId="38F61C3A" w14:textId="77777777" w:rsidR="00FB485B" w:rsidRPr="007F51CE" w:rsidRDefault="007A6F8C"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7A6F8C"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7A6F8C"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variants.</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5" w:name="_Toc430943800"/>
      <w:r>
        <w:rPr>
          <w:rFonts w:hint="eastAsia"/>
          <w:lang w:val="en-US" w:eastAsia="zh-CN"/>
        </w:rPr>
        <w:t>Results</w:t>
      </w:r>
      <w:bookmarkEnd w:id="15"/>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6" w:name="_Toc430943801"/>
      <w:r>
        <w:rPr>
          <w:lang w:val="en-US" w:eastAsia="zh-CN"/>
        </w:rPr>
        <w:t>Simulation</w:t>
      </w:r>
      <w:bookmarkEnd w:id="16"/>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Lewontin’s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7A6F8C"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7A6F8C"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7A6F8C"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7A6F8C"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7A6F8C"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7A6F8C"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We can identify sibpair from UK biobank,</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home/xuhm/data/Oxford/UKB; ~/manuscript/Linkage_Association/submit/FrontGenet/sib_ukb</w:t>
      </w:r>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–bfile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sibpairs, we only selected one pair </w:t>
      </w:r>
      <w:r w:rsidR="000F58B0" w:rsidRPr="00665AED">
        <w:rPr>
          <w:sz w:val="20"/>
          <w:szCs w:val="20"/>
          <w:lang w:val="en-US" w:eastAsia="zh-CN"/>
        </w:rPr>
        <w:t>and identified 18,118 sib pairs, and finally, we found 34 parents and sibpair.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bookmarkStart w:id="17" w:name="_GoBack"/>
      <w:bookmarkEnd w:id="17"/>
    </w:p>
    <w:p w14:paraId="1ECA1DDA" w14:textId="0946583A" w:rsidR="00C65598" w:rsidRDefault="00C65598" w:rsidP="00C65598">
      <w:pPr>
        <w:pStyle w:val="Heading1"/>
        <w:rPr>
          <w:lang w:val="en-US" w:eastAsia="zh-CN"/>
        </w:rPr>
      </w:pPr>
      <w:bookmarkStart w:id="18" w:name="_Toc430943802"/>
      <w:r>
        <w:rPr>
          <w:rFonts w:hint="eastAsia"/>
          <w:lang w:val="en-US" w:eastAsia="zh-CN"/>
        </w:rPr>
        <w:t>Discussion</w:t>
      </w:r>
      <w:bookmarkEnd w:id="18"/>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1DAB8768" w14:textId="2EA91B47" w:rsidR="00DF4A68" w:rsidRPr="00DF4A68" w:rsidRDefault="00D5456D" w:rsidP="00DF4A68">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F4A68" w:rsidRPr="00DF4A68">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DF4A68" w:rsidRPr="00DF4A68">
        <w:rPr>
          <w:rFonts w:cs="Times New Roman"/>
          <w:b/>
          <w:bCs/>
          <w:noProof/>
        </w:rPr>
        <w:t>562</w:t>
      </w:r>
      <w:r w:rsidR="00DF4A68" w:rsidRPr="00DF4A68">
        <w:rPr>
          <w:rFonts w:cs="Times New Roman"/>
          <w:noProof/>
        </w:rPr>
        <w:t>: 203–209.</w:t>
      </w:r>
    </w:p>
    <w:p w14:paraId="58765B4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Chen G.-B., 2014 Estimating heritability of complex traits from genome-wide association studies using IBS-based Haseman-Elston regression. Front. Genet. </w:t>
      </w:r>
      <w:r w:rsidRPr="00DF4A68">
        <w:rPr>
          <w:rFonts w:cs="Times New Roman"/>
          <w:b/>
          <w:bCs/>
          <w:noProof/>
        </w:rPr>
        <w:t>5</w:t>
      </w:r>
      <w:r w:rsidRPr="00DF4A68">
        <w:rPr>
          <w:rFonts w:cs="Times New Roman"/>
          <w:noProof/>
        </w:rPr>
        <w:t>: 107.</w:t>
      </w:r>
    </w:p>
    <w:p w14:paraId="4F996D7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Haseman J. K., Elston R. C., 1972 The investigation of linkage between a quantitative trait and a marker locus. Behav. Genet. </w:t>
      </w:r>
      <w:r w:rsidRPr="00DF4A68">
        <w:rPr>
          <w:rFonts w:cs="Times New Roman"/>
          <w:b/>
          <w:bCs/>
          <w:noProof/>
        </w:rPr>
        <w:t>2</w:t>
      </w:r>
      <w:r w:rsidRPr="00DF4A68">
        <w:rPr>
          <w:rFonts w:cs="Times New Roman"/>
          <w:noProof/>
        </w:rPr>
        <w:t>: 3–19.</w:t>
      </w:r>
    </w:p>
    <w:p w14:paraId="4C0A506B"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los Campos G. de, Sorensen D., Gianola D., 2015 Genomic heritability: what is it? PLoS Genet. </w:t>
      </w:r>
      <w:r w:rsidRPr="00DF4A68">
        <w:rPr>
          <w:rFonts w:cs="Times New Roman"/>
          <w:b/>
          <w:bCs/>
          <w:noProof/>
        </w:rPr>
        <w:t>11</w:t>
      </w:r>
      <w:r w:rsidRPr="00DF4A68">
        <w:rPr>
          <w:rFonts w:cs="Times New Roman"/>
          <w:noProof/>
        </w:rPr>
        <w:t>: e1005048.</w:t>
      </w:r>
    </w:p>
    <w:p w14:paraId="42BBE3F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Manichaikul A., Mychaleckyj J. C., Rich S. S., Daly K., Sale M., Chen W.-M., 2010 Robust relationship inference in genome-wide association studies. Bioinformatics </w:t>
      </w:r>
      <w:r w:rsidRPr="00DF4A68">
        <w:rPr>
          <w:rFonts w:cs="Times New Roman"/>
          <w:b/>
          <w:bCs/>
          <w:noProof/>
        </w:rPr>
        <w:t>26</w:t>
      </w:r>
      <w:r w:rsidRPr="00DF4A68">
        <w:rPr>
          <w:rFonts w:cs="Times New Roman"/>
          <w:noProof/>
        </w:rPr>
        <w:t>: 2867–73.</w:t>
      </w:r>
    </w:p>
    <w:p w14:paraId="3D24BB44"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DF4A68">
        <w:rPr>
          <w:rFonts w:cs="Times New Roman"/>
          <w:b/>
          <w:bCs/>
          <w:noProof/>
        </w:rPr>
        <w:t>461</w:t>
      </w:r>
      <w:r w:rsidRPr="00DF4A68">
        <w:rPr>
          <w:rFonts w:cs="Times New Roman"/>
          <w:noProof/>
        </w:rPr>
        <w:t>: 747–53.</w:t>
      </w:r>
    </w:p>
    <w:p w14:paraId="4530FF50"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Sham P. C., Purcell S., 2001 Equivalence between Haseman-Elston and variance-components linkage analyses for sib pairs. Am. J. Hum. Genet. </w:t>
      </w:r>
      <w:r w:rsidRPr="00DF4A68">
        <w:rPr>
          <w:rFonts w:cs="Times New Roman"/>
          <w:b/>
          <w:bCs/>
          <w:noProof/>
        </w:rPr>
        <w:t>68</w:t>
      </w:r>
      <w:r w:rsidRPr="00DF4A68">
        <w:rPr>
          <w:rFonts w:cs="Times New Roman"/>
          <w:noProof/>
        </w:rPr>
        <w:t>: 1527–32.</w:t>
      </w:r>
    </w:p>
    <w:p w14:paraId="03BF713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VanRaden P. M., 2008 Efficient methods to compute genomic predictions. J. Dairy Sci. </w:t>
      </w:r>
      <w:r w:rsidRPr="00DF4A68">
        <w:rPr>
          <w:rFonts w:cs="Times New Roman"/>
          <w:b/>
          <w:bCs/>
          <w:noProof/>
        </w:rPr>
        <w:t>91</w:t>
      </w:r>
      <w:r w:rsidRPr="00DF4A68">
        <w:rPr>
          <w:rFonts w:cs="Times New Roman"/>
          <w:noProof/>
        </w:rPr>
        <w:t>: 4414–4423.</w:t>
      </w:r>
    </w:p>
    <w:p w14:paraId="6266F3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DF4A68">
        <w:rPr>
          <w:rFonts w:cs="Times New Roman"/>
          <w:b/>
          <w:bCs/>
          <w:noProof/>
        </w:rPr>
        <w:t>2</w:t>
      </w:r>
      <w:r w:rsidRPr="00DF4A68">
        <w:rPr>
          <w:rFonts w:cs="Times New Roman"/>
          <w:noProof/>
        </w:rPr>
        <w:t>: e41.</w:t>
      </w:r>
    </w:p>
    <w:p w14:paraId="229BD2EE"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Vitezica Z. G., Legarra A., Toro M. A., Varona L., 2017 Orthogonal Estimates of Variances for Additive, Dominance and Epistatic Effects in Populations. Genetics </w:t>
      </w:r>
      <w:r w:rsidRPr="00DF4A68">
        <w:rPr>
          <w:rFonts w:cs="Times New Roman"/>
          <w:b/>
          <w:bCs/>
          <w:noProof/>
        </w:rPr>
        <w:t>206</w:t>
      </w:r>
      <w:r w:rsidRPr="00DF4A68">
        <w:rPr>
          <w:rFonts w:cs="Times New Roman"/>
          <w:noProof/>
        </w:rPr>
        <w:t>: 1297–1307.</w:t>
      </w:r>
    </w:p>
    <w:p w14:paraId="4EF7BD9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Wainschtein P., Jain D. P., Yengo L., Zheng Z., 2019 Recovery of trait heritability from whole genome sequence data. bioRxiv: 1–23.</w:t>
      </w:r>
    </w:p>
    <w:p w14:paraId="11312E7D"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DF4A68">
        <w:rPr>
          <w:rFonts w:cs="Times New Roman"/>
          <w:b/>
          <w:bCs/>
          <w:noProof/>
        </w:rPr>
        <w:t>42</w:t>
      </w:r>
      <w:r w:rsidRPr="00DF4A68">
        <w:rPr>
          <w:rFonts w:cs="Times New Roman"/>
          <w:noProof/>
        </w:rPr>
        <w:t>: 565–569.</w:t>
      </w:r>
    </w:p>
    <w:p w14:paraId="26D122B7"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DF4A68">
        <w:rPr>
          <w:rFonts w:cs="Times New Roman"/>
          <w:b/>
          <w:bCs/>
          <w:noProof/>
        </w:rPr>
        <w:t>47</w:t>
      </w:r>
      <w:r w:rsidRPr="00DF4A68">
        <w:rPr>
          <w:rFonts w:cs="Times New Roman"/>
          <w:noProof/>
        </w:rPr>
        <w:t>: 1114–1120.</w:t>
      </w:r>
    </w:p>
    <w:p w14:paraId="402D8DE3" w14:textId="77777777" w:rsidR="00DF4A68" w:rsidRPr="00DF4A68" w:rsidRDefault="00DF4A68" w:rsidP="00DF4A68">
      <w:pPr>
        <w:widowControl w:val="0"/>
        <w:autoSpaceDE w:val="0"/>
        <w:autoSpaceDN w:val="0"/>
        <w:adjustRightInd w:val="0"/>
        <w:spacing w:line="480" w:lineRule="auto"/>
        <w:ind w:left="480" w:hanging="480"/>
        <w:rPr>
          <w:rFonts w:cs="Times New Roman"/>
          <w:noProof/>
        </w:rPr>
      </w:pPr>
      <w:r w:rsidRPr="00DF4A68">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DF4A68">
        <w:rPr>
          <w:rFonts w:cs="Times New Roman"/>
          <w:b/>
          <w:bCs/>
          <w:noProof/>
        </w:rPr>
        <w:t>96</w:t>
      </w:r>
      <w:r w:rsidRPr="00DF4A68">
        <w:rPr>
          <w:rFonts w:cs="Times New Roman"/>
          <w:noProof/>
        </w:rPr>
        <w:t>: 377–385.</w:t>
      </w:r>
    </w:p>
    <w:p w14:paraId="410839E2" w14:textId="112182B7" w:rsidR="00747800" w:rsidRDefault="00D5456D" w:rsidP="00DF4A68">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7A6F8C"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7A6F8C"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7A6F8C"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7A6F8C"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7A6F8C"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7A6F8C"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7A6F8C"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7A6F8C"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7A6F8C"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7A6F8C"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7A6F8C"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7A6F8C"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7A6F8C"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7A6F8C"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7A6F8C"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7A6F8C"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7A6F8C"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7A6F8C"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7A6F8C"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7A6F8C"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7A6F8C"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7A6F8C"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7A6F8C"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7A6F8C"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7A6F8C"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7A6F8C"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7A6F8C"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7A6F8C"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7A6F8C"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7A6F8C"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7A6F8C"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7A6F8C"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7A6F8C"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7A6F8C"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m:t>
                    </m:r>
                    <m:r>
                      <w:rPr>
                        <w:rFonts w:ascii="Cambria Math" w:hAnsi="Cambria Math" w:cs="Times New Roman"/>
                        <w:sz w:val="16"/>
                        <w:szCs w:val="16"/>
                        <w:lang w:val="en-US"/>
                      </w:rPr>
                      <m:t>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7A6F8C"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7A6F8C"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7A6F8C"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7A6F8C"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7A6F8C"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lang w:eastAsia="zh-CN"/>
        </w:rPr>
      </w:pPr>
    </w:p>
    <w:p w14:paraId="1E7630AF" w14:textId="77777777" w:rsidR="002E412E" w:rsidRDefault="002E412E" w:rsidP="00747800">
      <w:pPr>
        <w:rPr>
          <w:rFonts w:cs="Times New Roman"/>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1E6208" w:rsidRDefault="001E6208" w:rsidP="00342EDE">
      <w:r>
        <w:separator/>
      </w:r>
    </w:p>
  </w:endnote>
  <w:endnote w:type="continuationSeparator" w:id="0">
    <w:p w14:paraId="4DF31A68" w14:textId="77777777" w:rsidR="001E6208" w:rsidRDefault="001E6208"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1E6208" w:rsidRDefault="001E6208"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1E6208" w:rsidRDefault="001E6208"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1E6208" w:rsidRDefault="001E6208"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41E9">
      <w:rPr>
        <w:rStyle w:val="PageNumber"/>
        <w:noProof/>
      </w:rPr>
      <w:t>1</w:t>
    </w:r>
    <w:r>
      <w:rPr>
        <w:rStyle w:val="PageNumber"/>
      </w:rPr>
      <w:fldChar w:fldCharType="end"/>
    </w:r>
  </w:p>
  <w:p w14:paraId="22ADA367" w14:textId="77777777" w:rsidR="001E6208" w:rsidRDefault="001E6208"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1E6208" w:rsidRDefault="001E6208" w:rsidP="00342EDE">
      <w:r>
        <w:separator/>
      </w:r>
    </w:p>
  </w:footnote>
  <w:footnote w:type="continuationSeparator" w:id="0">
    <w:p w14:paraId="1EE7517F" w14:textId="77777777" w:rsidR="001E6208" w:rsidRDefault="001E6208"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014C5"/>
    <w:rsid w:val="0001525E"/>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0E47"/>
    <w:rsid w:val="001241E9"/>
    <w:rsid w:val="00125538"/>
    <w:rsid w:val="00127CDB"/>
    <w:rsid w:val="00135D4B"/>
    <w:rsid w:val="001456DA"/>
    <w:rsid w:val="00150E0D"/>
    <w:rsid w:val="00175752"/>
    <w:rsid w:val="00176001"/>
    <w:rsid w:val="00182118"/>
    <w:rsid w:val="00190405"/>
    <w:rsid w:val="00194319"/>
    <w:rsid w:val="001950A3"/>
    <w:rsid w:val="001A516E"/>
    <w:rsid w:val="001B1D3D"/>
    <w:rsid w:val="001B6D9A"/>
    <w:rsid w:val="001C29E6"/>
    <w:rsid w:val="001C4B96"/>
    <w:rsid w:val="001D5710"/>
    <w:rsid w:val="001E03C0"/>
    <w:rsid w:val="001E220A"/>
    <w:rsid w:val="001E6208"/>
    <w:rsid w:val="001F66DE"/>
    <w:rsid w:val="001F7122"/>
    <w:rsid w:val="001F74DB"/>
    <w:rsid w:val="00203635"/>
    <w:rsid w:val="002123EF"/>
    <w:rsid w:val="00216561"/>
    <w:rsid w:val="00226753"/>
    <w:rsid w:val="0023077C"/>
    <w:rsid w:val="00233259"/>
    <w:rsid w:val="00235850"/>
    <w:rsid w:val="00241BBB"/>
    <w:rsid w:val="00252886"/>
    <w:rsid w:val="00266186"/>
    <w:rsid w:val="00272EEC"/>
    <w:rsid w:val="002C7C65"/>
    <w:rsid w:val="002E412E"/>
    <w:rsid w:val="002E42D1"/>
    <w:rsid w:val="002F4828"/>
    <w:rsid w:val="00300F8A"/>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3A34"/>
    <w:rsid w:val="004768CD"/>
    <w:rsid w:val="00480690"/>
    <w:rsid w:val="00495099"/>
    <w:rsid w:val="004C4215"/>
    <w:rsid w:val="004C7125"/>
    <w:rsid w:val="004D42C9"/>
    <w:rsid w:val="004E7909"/>
    <w:rsid w:val="00504372"/>
    <w:rsid w:val="0051675E"/>
    <w:rsid w:val="00525D9E"/>
    <w:rsid w:val="005266E7"/>
    <w:rsid w:val="005321A8"/>
    <w:rsid w:val="00532AC1"/>
    <w:rsid w:val="005361C6"/>
    <w:rsid w:val="00550415"/>
    <w:rsid w:val="00576542"/>
    <w:rsid w:val="00577A14"/>
    <w:rsid w:val="0058002F"/>
    <w:rsid w:val="0059775C"/>
    <w:rsid w:val="005A5DA6"/>
    <w:rsid w:val="005C1176"/>
    <w:rsid w:val="005C346E"/>
    <w:rsid w:val="005C366A"/>
    <w:rsid w:val="005C6071"/>
    <w:rsid w:val="005D66CE"/>
    <w:rsid w:val="005F69E9"/>
    <w:rsid w:val="00602CF9"/>
    <w:rsid w:val="00633064"/>
    <w:rsid w:val="00660BD6"/>
    <w:rsid w:val="00662E5F"/>
    <w:rsid w:val="00665AED"/>
    <w:rsid w:val="00670CAE"/>
    <w:rsid w:val="006823AB"/>
    <w:rsid w:val="0068372F"/>
    <w:rsid w:val="00692B00"/>
    <w:rsid w:val="00695DE4"/>
    <w:rsid w:val="006C1121"/>
    <w:rsid w:val="006E2D46"/>
    <w:rsid w:val="007061B5"/>
    <w:rsid w:val="0071474F"/>
    <w:rsid w:val="0072714B"/>
    <w:rsid w:val="0073376F"/>
    <w:rsid w:val="00747800"/>
    <w:rsid w:val="00764EE2"/>
    <w:rsid w:val="00776FE4"/>
    <w:rsid w:val="007911CF"/>
    <w:rsid w:val="0079652F"/>
    <w:rsid w:val="00796BB2"/>
    <w:rsid w:val="007A6F8C"/>
    <w:rsid w:val="007F193D"/>
    <w:rsid w:val="007F1F48"/>
    <w:rsid w:val="007F51CE"/>
    <w:rsid w:val="008114D4"/>
    <w:rsid w:val="00815FD0"/>
    <w:rsid w:val="0082046E"/>
    <w:rsid w:val="00821AD3"/>
    <w:rsid w:val="00823781"/>
    <w:rsid w:val="00845C9E"/>
    <w:rsid w:val="00857118"/>
    <w:rsid w:val="00861AEB"/>
    <w:rsid w:val="00862E40"/>
    <w:rsid w:val="00864034"/>
    <w:rsid w:val="00867D57"/>
    <w:rsid w:val="008747AC"/>
    <w:rsid w:val="00893457"/>
    <w:rsid w:val="008B65C2"/>
    <w:rsid w:val="008C0683"/>
    <w:rsid w:val="008C30C1"/>
    <w:rsid w:val="008D0BB8"/>
    <w:rsid w:val="008F5846"/>
    <w:rsid w:val="00903E0F"/>
    <w:rsid w:val="00920073"/>
    <w:rsid w:val="00923CE0"/>
    <w:rsid w:val="00923F9D"/>
    <w:rsid w:val="009510F3"/>
    <w:rsid w:val="009538FD"/>
    <w:rsid w:val="00954F3E"/>
    <w:rsid w:val="00977886"/>
    <w:rsid w:val="009907C9"/>
    <w:rsid w:val="00990803"/>
    <w:rsid w:val="00992ABD"/>
    <w:rsid w:val="009A447A"/>
    <w:rsid w:val="009B19D4"/>
    <w:rsid w:val="009B6420"/>
    <w:rsid w:val="009C4BD9"/>
    <w:rsid w:val="009E1C4C"/>
    <w:rsid w:val="009F558B"/>
    <w:rsid w:val="009F7168"/>
    <w:rsid w:val="009F7F23"/>
    <w:rsid w:val="00A314F1"/>
    <w:rsid w:val="00A40002"/>
    <w:rsid w:val="00A62C37"/>
    <w:rsid w:val="00A74A0E"/>
    <w:rsid w:val="00A91F85"/>
    <w:rsid w:val="00AA6F59"/>
    <w:rsid w:val="00AB1CB0"/>
    <w:rsid w:val="00AB7E43"/>
    <w:rsid w:val="00AD0C72"/>
    <w:rsid w:val="00AF5840"/>
    <w:rsid w:val="00B00091"/>
    <w:rsid w:val="00B03705"/>
    <w:rsid w:val="00B12352"/>
    <w:rsid w:val="00B12636"/>
    <w:rsid w:val="00B23FEE"/>
    <w:rsid w:val="00B32008"/>
    <w:rsid w:val="00B42F7F"/>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24183"/>
    <w:rsid w:val="00C313C8"/>
    <w:rsid w:val="00C366B8"/>
    <w:rsid w:val="00C37B9D"/>
    <w:rsid w:val="00C5673B"/>
    <w:rsid w:val="00C626CA"/>
    <w:rsid w:val="00C63BC5"/>
    <w:rsid w:val="00C65598"/>
    <w:rsid w:val="00C70C9C"/>
    <w:rsid w:val="00C9568E"/>
    <w:rsid w:val="00CE04C2"/>
    <w:rsid w:val="00CE0B18"/>
    <w:rsid w:val="00D06CDF"/>
    <w:rsid w:val="00D1086F"/>
    <w:rsid w:val="00D114BB"/>
    <w:rsid w:val="00D20796"/>
    <w:rsid w:val="00D23213"/>
    <w:rsid w:val="00D24826"/>
    <w:rsid w:val="00D26798"/>
    <w:rsid w:val="00D27440"/>
    <w:rsid w:val="00D42EAD"/>
    <w:rsid w:val="00D45D4C"/>
    <w:rsid w:val="00D5456D"/>
    <w:rsid w:val="00D55FBE"/>
    <w:rsid w:val="00D66B27"/>
    <w:rsid w:val="00D73298"/>
    <w:rsid w:val="00D91C4C"/>
    <w:rsid w:val="00DA16E3"/>
    <w:rsid w:val="00DA2676"/>
    <w:rsid w:val="00DA62DB"/>
    <w:rsid w:val="00DC5D3F"/>
    <w:rsid w:val="00DC7187"/>
    <w:rsid w:val="00DD4118"/>
    <w:rsid w:val="00DE1D39"/>
    <w:rsid w:val="00DF4A68"/>
    <w:rsid w:val="00E015AC"/>
    <w:rsid w:val="00E150BF"/>
    <w:rsid w:val="00E23D27"/>
    <w:rsid w:val="00E27F04"/>
    <w:rsid w:val="00E336D1"/>
    <w:rsid w:val="00E50503"/>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E1A61-63BD-534D-92A7-697ADCBD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20</Pages>
  <Words>12599</Words>
  <Characters>74844</Characters>
  <Application>Microsoft Macintosh Word</Application>
  <DocSecurity>0</DocSecurity>
  <Lines>1871</Lines>
  <Paragraphs>1231</Paragraphs>
  <ScaleCrop>false</ScaleCrop>
  <Company>Free</Company>
  <LinksUpToDate>false</LinksUpToDate>
  <CharactersWithSpaces>86212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120</cp:revision>
  <dcterms:created xsi:type="dcterms:W3CDTF">2019-08-16T06:18:00Z</dcterms:created>
  <dcterms:modified xsi:type="dcterms:W3CDTF">2019-09-27T05:10:00Z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