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76A6E" w14:textId="19B65775" w:rsidR="00371BD7" w:rsidRPr="002A377E" w:rsidRDefault="00371BD7" w:rsidP="00371BD7">
      <w:pPr>
        <w:jc w:val="center"/>
        <w:rPr>
          <w:rFonts w:ascii="Kaiti SC Regular" w:eastAsia="Kaiti SC Regular" w:hAnsi="Kaiti SC Regular"/>
          <w:sz w:val="20"/>
          <w:szCs w:val="20"/>
        </w:rPr>
      </w:pPr>
      <w:bookmarkStart w:id="0" w:name="_GoBack"/>
      <w:bookmarkEnd w:id="0"/>
      <w:r w:rsidRPr="002A377E">
        <w:rPr>
          <w:rFonts w:ascii="Kaiti SC Regular" w:eastAsia="Kaiti SC Regular" w:hAnsi="Kaiti SC Regular" w:hint="eastAsia"/>
        </w:rPr>
        <w:t>咨询的主要内容</w:t>
      </w:r>
      <w:r w:rsidRPr="002A377E">
        <w:rPr>
          <w:rFonts w:ascii="Kaiti SC Regular" w:eastAsia="Kaiti SC Regular" w:hAnsi="Kaiti SC Regular" w:hint="eastAsia"/>
          <w:sz w:val="20"/>
          <w:szCs w:val="20"/>
        </w:rPr>
        <w:t>（</w:t>
      </w:r>
      <w:r w:rsidRPr="002A377E">
        <w:rPr>
          <w:rFonts w:ascii="Kaiti SC Regular" w:eastAsia="Kaiti SC Regular" w:hAnsi="Kaiti SC Regular"/>
          <w:sz w:val="20"/>
          <w:szCs w:val="20"/>
        </w:rPr>
        <w:t>2019</w:t>
      </w:r>
      <w:r w:rsidRPr="002A377E">
        <w:rPr>
          <w:rFonts w:ascii="Kaiti SC Regular" w:eastAsia="Kaiti SC Regular" w:hAnsi="Kaiti SC Regular" w:hint="eastAsia"/>
          <w:sz w:val="20"/>
          <w:szCs w:val="20"/>
        </w:rPr>
        <w:t>年9月4日）</w:t>
      </w:r>
    </w:p>
    <w:p w14:paraId="08443822" w14:textId="38FAF3E6" w:rsidR="00371BD7" w:rsidRPr="002A377E" w:rsidRDefault="00371BD7" w:rsidP="00371BD7">
      <w:pPr>
        <w:rPr>
          <w:rFonts w:ascii="Kaiti SC Regular" w:eastAsia="Kaiti SC Regular" w:hAnsi="Kaiti SC Regular"/>
          <w:b/>
          <w:bCs/>
        </w:rPr>
      </w:pPr>
      <w:r w:rsidRPr="002A377E">
        <w:rPr>
          <w:rFonts w:ascii="Kaiti SC Regular" w:eastAsia="Kaiti SC Regular" w:hAnsi="Kaiti SC Regular" w:hint="eastAsia"/>
          <w:b/>
          <w:bCs/>
          <w:sz w:val="20"/>
          <w:szCs w:val="20"/>
        </w:rPr>
        <w:t>上午</w:t>
      </w:r>
      <w:r w:rsidRPr="002A377E">
        <w:rPr>
          <w:rFonts w:ascii="Kaiti SC Regular" w:eastAsia="Kaiti SC Regular" w:hAnsi="Kaiti SC Regular"/>
          <w:b/>
          <w:bCs/>
          <w:sz w:val="20"/>
          <w:szCs w:val="20"/>
        </w:rPr>
        <w:t>9:00 – 12:00</w:t>
      </w:r>
    </w:p>
    <w:p w14:paraId="182A044F" w14:textId="77777777" w:rsidR="009A0738" w:rsidRDefault="009A0738" w:rsidP="00371BD7">
      <w:pPr>
        <w:rPr>
          <w:rFonts w:ascii="Kaiti SC Regular" w:eastAsia="Kaiti SC Regular" w:hAnsi="Kaiti SC Regular"/>
        </w:rPr>
      </w:pPr>
    </w:p>
    <w:p w14:paraId="1BC4E327" w14:textId="6B774F46" w:rsidR="00371BD7" w:rsidRPr="009A0738" w:rsidRDefault="002A377E" w:rsidP="00371BD7">
      <w:pPr>
        <w:rPr>
          <w:rFonts w:ascii="Kaiti SC Regular" w:eastAsia="Kaiti SC Regular" w:hAnsi="Kaiti SC Regular"/>
          <w:u w:val="single"/>
        </w:rPr>
      </w:pPr>
      <w:r w:rsidRPr="009A0738">
        <w:rPr>
          <w:rFonts w:ascii="Kaiti SC Regular" w:eastAsia="Kaiti SC Regular" w:hAnsi="Kaiti SC Regular" w:hint="eastAsia"/>
          <w:highlight w:val="green"/>
          <w:u w:val="single"/>
        </w:rPr>
        <w:t>问：DNA甲基化是什么？</w:t>
      </w:r>
    </w:p>
    <w:p w14:paraId="658718A0" w14:textId="4CABB3A9" w:rsidR="002A377E" w:rsidRPr="002A377E" w:rsidRDefault="009A0738" w:rsidP="00371BD7">
      <w:pPr>
        <w:rPr>
          <w:rFonts w:ascii="Kaiti SC Regular" w:eastAsia="Kaiti SC Regular" w:hAnsi="Kaiti SC Regular"/>
        </w:rPr>
      </w:pPr>
      <w:r>
        <w:rPr>
          <w:rFonts w:ascii="Kaiti SC Regular" w:eastAsia="Kaiti SC Regular" w:hAnsi="Kaiti SC Regular" w:hint="eastAsia"/>
          <w:sz w:val="20"/>
          <w:szCs w:val="20"/>
        </w:rPr>
        <w:t>答：</w:t>
      </w:r>
      <w:r w:rsidR="002A377E" w:rsidRPr="002A377E">
        <w:rPr>
          <w:rFonts w:ascii="Kaiti SC Regular" w:eastAsia="Kaiti SC Regular" w:hAnsi="Kaiti SC Regular" w:hint="eastAsia"/>
          <w:sz w:val="20"/>
          <w:szCs w:val="20"/>
        </w:rPr>
        <w:t>DNA甲基化是指C位点经过化学修饰转变为T的过程，经常发生在</w:t>
      </w:r>
      <w:proofErr w:type="spellStart"/>
      <w:r w:rsidR="002A377E" w:rsidRPr="002A377E">
        <w:rPr>
          <w:rFonts w:ascii="Kaiti SC Regular" w:eastAsia="Kaiti SC Regular" w:hAnsi="Kaiti SC Regular" w:hint="eastAsia"/>
          <w:sz w:val="20"/>
          <w:szCs w:val="20"/>
        </w:rPr>
        <w:t>CpG</w:t>
      </w:r>
      <w:proofErr w:type="spellEnd"/>
      <w:r w:rsidR="002A377E" w:rsidRPr="002A377E">
        <w:rPr>
          <w:rFonts w:ascii="Kaiti SC Regular" w:eastAsia="Kaiti SC Regular" w:hAnsi="Kaiti SC Regular" w:hint="eastAsia"/>
          <w:sz w:val="20"/>
          <w:szCs w:val="20"/>
        </w:rPr>
        <w:t>位点。当DNA甲基化发生在promoter区段，经常抑制基因表达，但在基因区内的甲基化又常常带来基因的高表达，在植物和哺乳动物中都是如此</w:t>
      </w:r>
      <w:r w:rsidR="002A377E" w:rsidRPr="002A377E">
        <w:rPr>
          <w:rFonts w:ascii="Kaiti SC Regular" w:eastAsia="Kaiti SC Regular" w:hAnsi="Kaiti SC Regular"/>
          <w:sz w:val="20"/>
          <w:szCs w:val="20"/>
        </w:rPr>
        <w:fldChar w:fldCharType="begin" w:fldLock="1"/>
      </w:r>
      <w:r w:rsidR="002A377E" w:rsidRPr="002A377E">
        <w:rPr>
          <w:rFonts w:ascii="Kaiti SC Regular" w:eastAsia="Kaiti SC Regular" w:hAnsi="Kaiti SC Regular"/>
          <w:sz w:val="20"/>
          <w:szCs w:val="20"/>
        </w:rPr>
        <w:instrText>ADDIN CSL_CITATION {"citationItems":[{"id":"ITEM-1","itemData":{"DOI":"10.1038/nrg2732","ISBN":"1471-0064 (Electronic)\\r1471-0056 (Linking)","ISSN":"14710056","PMID":"20125086","abstract":"Methylation of cytosine bases in DNA provides a layer of epigenetic control in many eukaryotes that has important implications for normal biology and disease. Therefore, profiling DNA methylation across the genome is vital to understanding the influence of epigenetics. There has been a revolution in DNA methylation analysis technology over the past decade: analyses that previously were restricted to specific loci can now be performed on a genome-scale and entire methylomes can be characterized at single-base-pair resolution. However, there is such a diversity of DNA methylation profiling techniques that it can be challenging to select one. This Review discusses the different approaches and their relative merits and introduces considerations for data analysis.","author":[{"dropping-particle":"","family":"Laird","given":"Peter W.","non-dropping-particle":"","parse-names":false,"suffix":""}],"container-title":"Nature Reviews Genetics","id":"ITEM-1","issue":"3","issued":{"date-parts":[["2010"]]},"page":"191-203","publisher":"Nature Publishing Group","title":"Principles and challenges of genome-wide DNA methylation analysis","type":"article-journal","volume":"11"},"uris":["http://www.mendeley.com/documents/?uuid=703dfa0a-e0df-4e3d-b7ec-9d5556113087"]}],"mendeley":{"formattedCitation":"(Laird 2010)","plainTextFormattedCitation":"(Laird 2010)","previouslyFormattedCitation":"(Laird 2010)"},"properties":{"noteIndex":0},"schema":"https://github.com/citation-style-language/schema/raw/master/csl-citation.json"}</w:instrText>
      </w:r>
      <w:r w:rsidR="002A377E" w:rsidRPr="002A377E">
        <w:rPr>
          <w:rFonts w:ascii="Kaiti SC Regular" w:eastAsia="Kaiti SC Regular" w:hAnsi="Kaiti SC Regular"/>
          <w:sz w:val="20"/>
          <w:szCs w:val="20"/>
        </w:rPr>
        <w:fldChar w:fldCharType="separate"/>
      </w:r>
      <w:r w:rsidR="002A377E" w:rsidRPr="002A377E">
        <w:rPr>
          <w:rFonts w:ascii="Kaiti SC Regular" w:eastAsia="Kaiti SC Regular" w:hAnsi="Kaiti SC Regular"/>
          <w:noProof/>
          <w:sz w:val="20"/>
          <w:szCs w:val="20"/>
        </w:rPr>
        <w:t>(Laird 2010)</w:t>
      </w:r>
      <w:r w:rsidR="002A377E" w:rsidRPr="002A377E">
        <w:rPr>
          <w:rFonts w:ascii="Kaiti SC Regular" w:eastAsia="Kaiti SC Regular" w:hAnsi="Kaiti SC Regular"/>
          <w:sz w:val="20"/>
          <w:szCs w:val="20"/>
        </w:rPr>
        <w:fldChar w:fldCharType="end"/>
      </w:r>
      <w:r w:rsidR="002A377E" w:rsidRPr="002A377E">
        <w:rPr>
          <w:rFonts w:ascii="Kaiti SC Regular" w:eastAsia="Kaiti SC Regular" w:hAnsi="Kaiti SC Regular" w:hint="eastAsia"/>
          <w:sz w:val="20"/>
          <w:szCs w:val="20"/>
        </w:rPr>
        <w:t>。</w:t>
      </w:r>
    </w:p>
    <w:p w14:paraId="6C48AD52" w14:textId="77777777" w:rsidR="002A377E" w:rsidRDefault="002A377E" w:rsidP="00371BD7">
      <w:pPr>
        <w:rPr>
          <w:rFonts w:ascii="Kaiti SC Regular" w:eastAsia="Kaiti SC Regular" w:hAnsi="Kaiti SC Regular"/>
        </w:rPr>
      </w:pPr>
    </w:p>
    <w:p w14:paraId="6AEDB9DC" w14:textId="77777777" w:rsidR="009A0738" w:rsidRPr="009A0738" w:rsidRDefault="009A0738" w:rsidP="009A0738">
      <w:pPr>
        <w:rPr>
          <w:rFonts w:ascii="Kaiti SC Regular" w:eastAsia="Kaiti SC Regular" w:hAnsi="Kaiti SC Regular"/>
          <w:u w:val="single"/>
        </w:rPr>
      </w:pPr>
      <w:r w:rsidRPr="009A0738">
        <w:rPr>
          <w:rFonts w:ascii="Kaiti SC Regular" w:eastAsia="Kaiti SC Regular" w:hAnsi="Kaiti SC Regular" w:hint="eastAsia"/>
          <w:highlight w:val="green"/>
          <w:u w:val="single"/>
        </w:rPr>
        <w:t>问：甲基化芯片</w:t>
      </w:r>
    </w:p>
    <w:p w14:paraId="3D002675" w14:textId="7F09A59B" w:rsidR="009A0738" w:rsidRPr="009A0738" w:rsidRDefault="009A0738" w:rsidP="009A0738">
      <w:pPr>
        <w:rPr>
          <w:rFonts w:ascii="Kaiti SC Regular" w:eastAsia="Kaiti SC Regular" w:hAnsi="Kaiti SC Regular"/>
          <w:sz w:val="20"/>
          <w:szCs w:val="20"/>
        </w:rPr>
      </w:pPr>
      <w:r w:rsidRPr="009A0738">
        <w:rPr>
          <w:rFonts w:ascii="Kaiti SC Regular" w:eastAsia="Kaiti SC Regular" w:hAnsi="Kaiti SC Regular" w:hint="eastAsia"/>
          <w:sz w:val="20"/>
          <w:szCs w:val="20"/>
        </w:rPr>
        <w:t>答：甲基化目前普遍使用芯片测序，都是有</w:t>
      </w:r>
      <w:proofErr w:type="spellStart"/>
      <w:r w:rsidRPr="009A0738">
        <w:rPr>
          <w:rFonts w:ascii="Kaiti SC Regular" w:eastAsia="Kaiti SC Regular" w:hAnsi="Kaiti SC Regular" w:hint="eastAsia"/>
          <w:sz w:val="20"/>
          <w:szCs w:val="20"/>
        </w:rPr>
        <w:t>Illumina</w:t>
      </w:r>
      <w:proofErr w:type="spellEnd"/>
      <w:r w:rsidRPr="009A0738">
        <w:rPr>
          <w:rFonts w:ascii="Kaiti SC Regular" w:eastAsia="Kaiti SC Regular" w:hAnsi="Kaiti SC Regular" w:hint="eastAsia"/>
          <w:sz w:val="20"/>
          <w:szCs w:val="20"/>
        </w:rPr>
        <w:t>公司主导，第一代芯片是</w:t>
      </w:r>
    </w:p>
    <w:p w14:paraId="66BBCD5F"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hint="eastAsia"/>
          <w:sz w:val="20"/>
          <w:szCs w:val="20"/>
        </w:rPr>
        <w:t>目前人类甲基化研究比较成熟的产品是</w:t>
      </w:r>
      <w:proofErr w:type="spellStart"/>
      <w:r w:rsidRPr="00B9510C">
        <w:rPr>
          <w:rFonts w:ascii="Kaiti SC Regular" w:eastAsia="Kaiti SC Regular" w:hAnsi="Kaiti SC Regular" w:hint="eastAsia"/>
          <w:sz w:val="20"/>
          <w:szCs w:val="20"/>
        </w:rPr>
        <w:t>Illumina</w:t>
      </w:r>
      <w:proofErr w:type="spellEnd"/>
      <w:r w:rsidRPr="00B9510C">
        <w:rPr>
          <w:rFonts w:ascii="Kaiti SC Regular" w:eastAsia="Kaiti SC Regular" w:hAnsi="Kaiti SC Regular" w:hint="eastAsia"/>
          <w:sz w:val="20"/>
          <w:szCs w:val="20"/>
        </w:rPr>
        <w:t>设计的三款甲基化芯片产品。</w:t>
      </w:r>
      <w:r>
        <w:rPr>
          <w:rFonts w:ascii="Kaiti SC Regular" w:eastAsia="Kaiti SC Regular" w:hAnsi="Kaiti SC Regular"/>
          <w:sz w:val="20"/>
          <w:szCs w:val="20"/>
        </w:rPr>
        <w:t>27K, 450K, 850K (EPIC)</w:t>
      </w:r>
      <w:r w:rsidRPr="00B9510C">
        <w:rPr>
          <w:rFonts w:ascii="Kaiti SC Regular" w:eastAsia="Kaiti SC Regular" w:hAnsi="Kaiti SC Regular"/>
          <w:sz w:val="20"/>
          <w:szCs w:val="20"/>
        </w:rPr>
        <w:br/>
      </w:r>
      <w:r w:rsidRPr="00B9510C">
        <w:rPr>
          <w:rFonts w:ascii="Kaiti SC Regular" w:eastAsia="Kaiti SC Regular" w:hAnsi="Kaiti SC Regular" w:hint="eastAsia"/>
          <w:sz w:val="20"/>
          <w:szCs w:val="20"/>
          <w:highlight w:val="cyan"/>
        </w:rPr>
        <w:t>第一款</w:t>
      </w:r>
      <w:r w:rsidRPr="00B9510C">
        <w:rPr>
          <w:rFonts w:ascii="Kaiti SC Regular" w:eastAsia="Kaiti SC Regular" w:hAnsi="Kaiti SC Regular" w:hint="eastAsia"/>
          <w:sz w:val="20"/>
          <w:szCs w:val="20"/>
        </w:rPr>
        <w:t>是基于27000个甲基化位点开发的27K芯片[</w:t>
      </w:r>
      <w:proofErr w:type="spellStart"/>
      <w:r w:rsidRPr="00B9510C">
        <w:rPr>
          <w:rFonts w:ascii="Kaiti SC Regular" w:eastAsia="Kaiti SC Regular" w:hAnsi="Kaiti SC Regular" w:hint="eastAsia"/>
          <w:sz w:val="20"/>
          <w:szCs w:val="20"/>
        </w:rPr>
        <w:t>Infinium</w:t>
      </w:r>
      <w:proofErr w:type="spellEnd"/>
      <w:r w:rsidRPr="00B9510C">
        <w:rPr>
          <w:rFonts w:ascii="Kaiti SC Regular" w:eastAsia="Kaiti SC Regular" w:hAnsi="Kaiti SC Regular" w:hint="eastAsia"/>
          <w:sz w:val="20"/>
          <w:szCs w:val="20"/>
        </w:rPr>
        <w:t xml:space="preserve"> HumanMethylation27; </w:t>
      </w:r>
      <w:proofErr w:type="spellStart"/>
      <w:r w:rsidRPr="00B9510C">
        <w:rPr>
          <w:rFonts w:ascii="Kaiti SC Regular" w:eastAsia="Kaiti SC Regular" w:hAnsi="Kaiti SC Regular" w:hint="eastAsia"/>
          <w:sz w:val="20"/>
          <w:szCs w:val="20"/>
        </w:rPr>
        <w:t>Illumina</w:t>
      </w:r>
      <w:proofErr w:type="spellEnd"/>
      <w:r w:rsidRPr="00B9510C">
        <w:rPr>
          <w:rFonts w:ascii="Kaiti SC Regular" w:eastAsia="Kaiti SC Regular" w:hAnsi="Kaiti SC Regular" w:hint="eastAsia"/>
          <w:sz w:val="20"/>
          <w:szCs w:val="20"/>
        </w:rPr>
        <w:t xml:space="preserve">, </w:t>
      </w:r>
      <w:proofErr w:type="spellStart"/>
      <w:r w:rsidRPr="00B9510C">
        <w:rPr>
          <w:rFonts w:ascii="Kaiti SC Regular" w:eastAsia="Kaiti SC Regular" w:hAnsi="Kaiti SC Regular" w:hint="eastAsia"/>
          <w:sz w:val="20"/>
          <w:szCs w:val="20"/>
        </w:rPr>
        <w:t>Inc</w:t>
      </w:r>
      <w:proofErr w:type="spellEnd"/>
      <w:r w:rsidRPr="00B9510C">
        <w:rPr>
          <w:rFonts w:ascii="Kaiti SC Regular" w:eastAsia="Kaiti SC Regular" w:hAnsi="Kaiti SC Regular" w:hint="eastAsia"/>
          <w:sz w:val="20"/>
          <w:szCs w:val="20"/>
        </w:rPr>
        <w:t>, CA, USA]</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{"citationItems":[{"id":"ITEM-1","itemData":{"DOI":"10.2217/epi.09.14","ISBN":"1750-192X (Electronic) 1750-192X (Linking)","ISSN":"17501911","PMID":"22122642","abstract":"AIMS: Bisulfite sequence analysis of individual CpG sites within genomic DNA is a powerful approach for methylation analysis in the genome. The major limitation of bisulfite-based methods is parallelization. Both array and next-generation sequencing technology are capable of addressing this bottleneck. In this report, we describe the application of Infinium® genotyping technology to analyze bisulfite-converted DNA to simultaneously query the methylation state of over 27,000 CpG sites from promoters of consensus coding sequences (CCDS) genes. MATERIALS &amp; METHODS: We adapted the Infinium genotyping assay to readout an array of over 27,000 pairs of CpG methylation-specific query probes complementary to bisulfite-converted DNA. Two probes were designed to each CpG site: a 'methylated' and an 'unmethylated' query probe. The probe design assumed that all underlying CpG sites were 'in phase' with the queried CpG site due to their close proximity. Bisulfite conversion was performed with a modified version of the Zymo EZ DNA Methylation™ kit. RESULTS: We applied this technology to measuring methylation levels across a panel of 14 different human tissues, four Coriell cell lines and six cancer cell lines. We observed that CpG sites within CpG islands (CGIs) were largely unmethylated across all tissues (~80% sites unmethylated, β &lt; 0.2), whereas CpG sites in non-CGIs were moderately to highly methylated (only ~12% sites unmethylated, β &lt; 0.2). Within CGIs, only approximately 3-6% of the loci were highly methylated; in contrast, outside of CGIs approximately 25-40% of loci were highly methylated. Moreover, tissue-specific methylation (variation in methylation across tissues) was much more prevalent in non-CGIs than within CGIs. CONCLUSION: Our results demonstrate a genome-wide scalable array-based methylation readout platform that is both highly reproducible and quantitative. In the near future, this platform should enable the analysis of hundreds of thousands to millions of CpG sites per sample.","author":[{"dropping-particle":"","family":"Bibikova","given":"Marina","non-dropping-particle":"","parse-names":false,"suffix":""},{"dropping-particle":"","family":"Le","given":"Jennie","non-dropping-particle":"","parse-names":false,"suffix":""},{"dropping-particle":"","family":"Barnes","given":"Bret","non-dropping-particle":"","parse-names":false,"suffix":""},{"dropping-particle":"","family":"Saedinia-Melnyk","given":"Shadi","non-dropping-particle":"","parse-names":false,"suffix":""},{"dropping-particle":"","family":"Zhou","given":"Lixin","non-dropping-particle":"","parse-names":false,"suffix":""},{"dropping-particle":"","family":"Shen","given":"Richard","non-dropping-particle":"","parse-names":false,"suffix":""},{"dropping-particle":"","family":"Gunderson","given":"Kevin L.","non-dropping-particle":"","parse-names":false,"suffix":""}],"container-title":"Epigenomics","id":"ITEM-1","issue":"1","issued":{"date-parts":[["2009"]]},"page":"177-200","title":"Genome-wide DNA methylation profiling using Infinium@ assay","type":"article-journal","volume":"1"},"uris":["http://www.mendeley.com/documents/?uuid=9a3dde22-38b6-4abd-a907-62029c01b2af"]}],"mendeley":{"formattedCitation":"(Bibikova &lt;i&gt;et al.&lt;/i&gt; 2009)","plainTextFormattedCitation":"(Bibikova et al. 2009)","previouslyFormattedCitation":"(Bibikova &lt;i&gt;et al.&lt;/i&gt; 2009)"},"properties":{"noteIndex":0},"schema":"https://github.com/citation-style-language/schema/raw/master/csl-citation.json"}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2009)</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，使用双探针设计的</w:t>
      </w:r>
      <w:proofErr w:type="spellStart"/>
      <w:r w:rsidRPr="00B9510C">
        <w:rPr>
          <w:rFonts w:ascii="Kaiti SC Regular" w:eastAsia="Kaiti SC Regular" w:hAnsi="Kaiti SC Regular" w:hint="eastAsia"/>
          <w:sz w:val="20"/>
          <w:szCs w:val="20"/>
        </w:rPr>
        <w:t>Infinium</w:t>
      </w:r>
      <w:proofErr w:type="spellEnd"/>
      <w:r w:rsidRPr="00B9510C">
        <w:rPr>
          <w:rFonts w:ascii="Kaiti SC Regular" w:eastAsia="Kaiti SC Regular" w:hAnsi="Kaiti SC Regular" w:hint="eastAsia"/>
          <w:sz w:val="20"/>
          <w:szCs w:val="20"/>
        </w:rPr>
        <w:t xml:space="preserve"> I probe设计。</w:t>
      </w:r>
      <w:r w:rsidRPr="00B9510C">
        <w:rPr>
          <w:rFonts w:ascii="Kaiti SC Regular" w:eastAsia="Kaiti SC Regular" w:hAnsi="Kaiti SC Regular"/>
          <w:sz w:val="20"/>
          <w:szCs w:val="20"/>
        </w:rPr>
        <w:br/>
      </w:r>
      <w:proofErr w:type="spellStart"/>
      <w:r w:rsidRPr="00B9510C">
        <w:rPr>
          <w:rFonts w:ascii="Kaiti SC Regular" w:eastAsia="Kaiti SC Regular" w:hAnsi="Kaiti SC Regular" w:hint="eastAsia"/>
          <w:sz w:val="20"/>
          <w:szCs w:val="20"/>
          <w:highlight w:val="lightGray"/>
        </w:rPr>
        <w:t>Infinium</w:t>
      </w:r>
      <w:proofErr w:type="spellEnd"/>
      <w:r w:rsidRPr="00B9510C">
        <w:rPr>
          <w:rFonts w:ascii="Kaiti SC Regular" w:eastAsia="Kaiti SC Regular" w:hAnsi="Kaiti SC Regular" w:hint="eastAsia"/>
          <w:sz w:val="20"/>
          <w:szCs w:val="20"/>
          <w:highlight w:val="lightGray"/>
        </w:rPr>
        <w:t xml:space="preserve"> I methylation-specific assay design consisting of two probes per </w:t>
      </w:r>
      <w:proofErr w:type="spellStart"/>
      <w:r w:rsidRPr="00B9510C">
        <w:rPr>
          <w:rFonts w:ascii="Kaiti SC Regular" w:eastAsia="Kaiti SC Regular" w:hAnsi="Kaiti SC Regular" w:hint="eastAsia"/>
          <w:sz w:val="20"/>
          <w:szCs w:val="20"/>
          <w:highlight w:val="lightGray"/>
        </w:rPr>
        <w:t>CpG</w:t>
      </w:r>
      <w:proofErr w:type="spellEnd"/>
      <w:r w:rsidRPr="00B9510C">
        <w:rPr>
          <w:rFonts w:ascii="Kaiti SC Regular" w:eastAsia="Kaiti SC Regular" w:hAnsi="Kaiti SC Regular" w:hint="eastAsia"/>
          <w:sz w:val="20"/>
          <w:szCs w:val="20"/>
          <w:highlight w:val="lightGray"/>
        </w:rPr>
        <w:t xml:space="preserve"> locus</w:t>
      </w:r>
      <w:r w:rsidRPr="00B9510C">
        <w:rPr>
          <w:rFonts w:ascii="Kaiti SC Regular" w:eastAsia="Kaiti SC Regular" w:hAnsi="Kaiti SC Regular" w:hint="eastAsia"/>
          <w:sz w:val="20"/>
          <w:szCs w:val="20"/>
        </w:rPr>
        <w:t>[图片来自</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w:t>
      </w:r>
    </w:p>
    <w:p w14:paraId="4DC2992A"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noProof/>
          <w:sz w:val="20"/>
          <w:szCs w:val="20"/>
          <w:lang w:eastAsia="en-US"/>
        </w:rPr>
        <w:drawing>
          <wp:inline distT="0" distB="0" distL="0" distR="0" wp14:anchorId="7B88C138" wp14:editId="48697076">
            <wp:extent cx="4297680" cy="2385060"/>
            <wp:effectExtent l="50800" t="50800" r="45720" b="533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2385060"/>
                    </a:xfrm>
                    <a:prstGeom prst="rect">
                      <a:avLst/>
                    </a:prstGeom>
                    <a:noFill/>
                    <a:ln w="38100">
                      <a:solidFill>
                        <a:schemeClr val="accent5"/>
                      </a:solidFill>
                    </a:ln>
                  </pic:spPr>
                </pic:pic>
              </a:graphicData>
            </a:graphic>
          </wp:inline>
        </w:drawing>
      </w:r>
    </w:p>
    <w:p w14:paraId="3D7AD06D" w14:textId="77777777" w:rsidR="009A0738" w:rsidRDefault="009A0738" w:rsidP="009A0738">
      <w:pPr>
        <w:rPr>
          <w:rFonts w:ascii="Kaiti SC Regular" w:eastAsia="Kaiti SC Regular" w:hAnsi="Kaiti SC Regular"/>
          <w:sz w:val="20"/>
          <w:szCs w:val="20"/>
        </w:rPr>
      </w:pPr>
      <w:r>
        <w:rPr>
          <w:rFonts w:ascii="Kaiti SC Regular" w:eastAsia="Kaiti SC Regular" w:hAnsi="Kaiti SC Regular" w:hint="eastAsia"/>
          <w:sz w:val="20"/>
          <w:szCs w:val="20"/>
        </w:rPr>
        <w:t>每个位点都采用双探针设计，分别用红、绿两个荧光色道[channel]进行测量。</w:t>
      </w:r>
    </w:p>
    <w:p w14:paraId="2B9ABC37"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sz w:val="20"/>
          <w:szCs w:val="20"/>
        </w:rPr>
        <w:br/>
      </w:r>
      <w:r w:rsidRPr="00B9510C">
        <w:rPr>
          <w:rFonts w:ascii="Kaiti SC Regular" w:eastAsia="Kaiti SC Regular" w:hAnsi="Kaiti SC Regular" w:hint="eastAsia"/>
          <w:sz w:val="20"/>
          <w:szCs w:val="20"/>
          <w:highlight w:val="cyan"/>
        </w:rPr>
        <w:t>第二款</w:t>
      </w:r>
      <w:r w:rsidRPr="00B9510C">
        <w:rPr>
          <w:rFonts w:ascii="Kaiti SC Regular" w:eastAsia="Kaiti SC Regular" w:hAnsi="Kaiti SC Regular" w:hint="eastAsia"/>
          <w:sz w:val="20"/>
          <w:szCs w:val="20"/>
        </w:rPr>
        <w:t>在征集了</w:t>
      </w:r>
      <w:r w:rsidRPr="00CB5639">
        <w:rPr>
          <w:rFonts w:ascii="Kaiti SC Regular" w:eastAsia="Kaiti SC Regular" w:hAnsi="Kaiti SC Regular"/>
          <w:sz w:val="20"/>
          <w:szCs w:val="20"/>
          <w:highlight w:val="yellow"/>
        </w:rPr>
        <w:t>19</w:t>
      </w:r>
      <w:r w:rsidRPr="00CB5639">
        <w:rPr>
          <w:rFonts w:ascii="Kaiti SC Regular" w:eastAsia="Kaiti SC Regular" w:hAnsi="Kaiti SC Regular" w:hint="eastAsia"/>
          <w:sz w:val="20"/>
          <w:szCs w:val="20"/>
          <w:highlight w:val="yellow"/>
        </w:rPr>
        <w:t>个研究所22名研究员</w:t>
      </w:r>
      <w:r>
        <w:rPr>
          <w:rFonts w:ascii="Kaiti SC Regular" w:eastAsia="Kaiti SC Regular" w:hAnsi="Kaiti SC Regular" w:hint="eastAsia"/>
          <w:sz w:val="20"/>
          <w:szCs w:val="20"/>
        </w:rPr>
        <w:t>[反映产业与实验室的关系]</w:t>
      </w:r>
      <w:r w:rsidRPr="00B9510C">
        <w:rPr>
          <w:rFonts w:ascii="Kaiti SC Regular" w:eastAsia="Kaiti SC Regular" w:hAnsi="Kaiti SC Regular" w:hint="eastAsia"/>
          <w:sz w:val="20"/>
          <w:szCs w:val="20"/>
        </w:rPr>
        <w:t>的意见开发了甲基化450K芯片[</w:t>
      </w:r>
      <w:proofErr w:type="spellStart"/>
      <w:r w:rsidRPr="00B9510C">
        <w:rPr>
          <w:rFonts w:ascii="Kaiti SC Regular" w:eastAsia="Kaiti SC Regular" w:hAnsi="Kaiti SC Regular" w:hint="eastAsia"/>
          <w:sz w:val="20"/>
          <w:szCs w:val="20"/>
        </w:rPr>
        <w:t>Infinium</w:t>
      </w:r>
      <w:proofErr w:type="spellEnd"/>
      <w:r w:rsidRPr="00B9510C">
        <w:rPr>
          <w:rFonts w:ascii="Kaiti SC Regular" w:eastAsia="Kaiti SC Regular" w:hAnsi="Kaiti SC Regular" w:hint="eastAsia"/>
          <w:sz w:val="20"/>
          <w:szCs w:val="20"/>
        </w:rPr>
        <w:t xml:space="preserve"> </w:t>
      </w:r>
      <w:proofErr w:type="spellStart"/>
      <w:r w:rsidRPr="00B9510C">
        <w:rPr>
          <w:rFonts w:ascii="Kaiti SC Regular" w:eastAsia="Kaiti SC Regular" w:hAnsi="Kaiti SC Regular" w:hint="eastAsia"/>
          <w:sz w:val="20"/>
          <w:szCs w:val="20"/>
        </w:rPr>
        <w:t>HumanMethylation</w:t>
      </w:r>
      <w:proofErr w:type="spellEnd"/>
      <w:r w:rsidRPr="00B9510C">
        <w:rPr>
          <w:rFonts w:ascii="Kaiti SC Regular" w:eastAsia="Kaiti SC Regular" w:hAnsi="Kaiti SC Regular" w:hint="eastAsia"/>
          <w:sz w:val="20"/>
          <w:szCs w:val="20"/>
        </w:rPr>
        <w:t xml:space="preserve"> 450K; </w:t>
      </w:r>
      <w:proofErr w:type="spellStart"/>
      <w:r w:rsidRPr="00B9510C">
        <w:rPr>
          <w:rFonts w:ascii="Kaiti SC Regular" w:eastAsia="Kaiti SC Regular" w:hAnsi="Kaiti SC Regular" w:hint="eastAsia"/>
          <w:sz w:val="20"/>
          <w:szCs w:val="20"/>
        </w:rPr>
        <w:t>Illumina</w:t>
      </w:r>
      <w:proofErr w:type="spellEnd"/>
      <w:r w:rsidRPr="00B9510C">
        <w:rPr>
          <w:rFonts w:ascii="Kaiti SC Regular" w:eastAsia="Kaiti SC Regular" w:hAnsi="Kaiti SC Regular" w:hint="eastAsia"/>
          <w:sz w:val="20"/>
          <w:szCs w:val="20"/>
        </w:rPr>
        <w:t xml:space="preserve">, </w:t>
      </w:r>
      <w:proofErr w:type="spellStart"/>
      <w:r w:rsidRPr="00B9510C">
        <w:rPr>
          <w:rFonts w:ascii="Kaiti SC Regular" w:eastAsia="Kaiti SC Regular" w:hAnsi="Kaiti SC Regular" w:hint="eastAsia"/>
          <w:sz w:val="20"/>
          <w:szCs w:val="20"/>
        </w:rPr>
        <w:t>Inc</w:t>
      </w:r>
      <w:proofErr w:type="spellEnd"/>
      <w:r w:rsidRPr="00B9510C">
        <w:rPr>
          <w:rFonts w:ascii="Kaiti SC Regular" w:eastAsia="Kaiti SC Regular" w:hAnsi="Kaiti SC Regular" w:hint="eastAsia"/>
          <w:sz w:val="20"/>
          <w:szCs w:val="20"/>
        </w:rPr>
        <w:t>, CA, USA]包含了485,577个位点</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，94%的27K芯片位点被450K芯片所包含。450K芯片包含96%了当时已知的UCSC所标注的</w:t>
      </w:r>
      <w:proofErr w:type="spellStart"/>
      <w:r w:rsidRPr="00B9510C">
        <w:rPr>
          <w:rFonts w:ascii="Kaiti SC Regular" w:eastAsia="Kaiti SC Regular" w:hAnsi="Kaiti SC Regular" w:hint="eastAsia"/>
          <w:sz w:val="20"/>
          <w:szCs w:val="20"/>
        </w:rPr>
        <w:t>CpG</w:t>
      </w:r>
      <w:proofErr w:type="spellEnd"/>
      <w:r w:rsidRPr="00B9510C">
        <w:rPr>
          <w:rFonts w:ascii="Kaiti SC Regular" w:eastAsia="Kaiti SC Regular" w:hAnsi="Kaiti SC Regular" w:hint="eastAsia"/>
          <w:sz w:val="20"/>
          <w:szCs w:val="20"/>
        </w:rPr>
        <w:t>岛，与测序数据的甲基化相比相关性的</w:t>
      </w:r>
      <w:proofErr w:type="spellStart"/>
      <w:r w:rsidRPr="00B9510C">
        <w:rPr>
          <w:rFonts w:ascii="Kaiti SC Regular" w:eastAsia="Kaiti SC Regular" w:hAnsi="Kaiti SC Regular" w:hint="eastAsia"/>
          <w:sz w:val="20"/>
          <w:szCs w:val="20"/>
        </w:rPr>
        <w:t>Rsq</w:t>
      </w:r>
      <w:proofErr w:type="spellEnd"/>
      <w:r w:rsidRPr="00B9510C">
        <w:rPr>
          <w:rFonts w:ascii="Kaiti SC Regular" w:eastAsia="Kaiti SC Regular" w:hAnsi="Kaiti SC Regular" w:hint="eastAsia"/>
          <w:sz w:val="20"/>
          <w:szCs w:val="20"/>
        </w:rPr>
        <w:t>大约在95%以上。表格来自</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w:t>
      </w:r>
    </w:p>
    <w:p w14:paraId="6A3362EB"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noProof/>
          <w:sz w:val="20"/>
          <w:szCs w:val="20"/>
          <w:lang w:eastAsia="en-US"/>
        </w:rPr>
        <w:drawing>
          <wp:inline distT="0" distB="0" distL="0" distR="0" wp14:anchorId="100C4718" wp14:editId="42103098">
            <wp:extent cx="3112135" cy="2245360"/>
            <wp:effectExtent l="50800" t="50800" r="62865" b="40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135" cy="2245360"/>
                    </a:xfrm>
                    <a:prstGeom prst="rect">
                      <a:avLst/>
                    </a:prstGeom>
                    <a:noFill/>
                    <a:ln w="60325">
                      <a:solidFill>
                        <a:schemeClr val="accent6"/>
                      </a:solidFill>
                    </a:ln>
                  </pic:spPr>
                </pic:pic>
              </a:graphicData>
            </a:graphic>
          </wp:inline>
        </w:drawing>
      </w:r>
    </w:p>
    <w:p w14:paraId="5066C283"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hint="eastAsia"/>
          <w:sz w:val="20"/>
          <w:szCs w:val="20"/>
        </w:rPr>
        <w:lastRenderedPageBreak/>
        <w:t>450</w:t>
      </w:r>
      <w:r w:rsidRPr="00B9510C">
        <w:rPr>
          <w:rFonts w:ascii="Kaiti SC Regular" w:eastAsia="Kaiti SC Regular" w:hAnsi="Kaiti SC Regular"/>
          <w:sz w:val="20"/>
          <w:szCs w:val="20"/>
        </w:rPr>
        <w:t>K</w:t>
      </w:r>
      <w:r w:rsidRPr="00B9510C">
        <w:rPr>
          <w:rFonts w:ascii="Kaiti SC Regular" w:eastAsia="Kaiti SC Regular" w:hAnsi="Kaiti SC Regular" w:hint="eastAsia"/>
          <w:sz w:val="20"/>
          <w:szCs w:val="20"/>
        </w:rPr>
        <w:t>芯片因为保留了27K的很多位点，所以在探针设计上有两类探针</w:t>
      </w:r>
      <w:r w:rsidRPr="00B9510C">
        <w:rPr>
          <w:rFonts w:ascii="Kaiti SC Regular" w:eastAsia="Kaiti SC Regular" w:hAnsi="Kaiti SC Regular"/>
          <w:sz w:val="20"/>
          <w:szCs w:val="20"/>
        </w:rPr>
        <w:t>135,501</w:t>
      </w:r>
      <w:r w:rsidRPr="00B9510C">
        <w:rPr>
          <w:rFonts w:ascii="Kaiti SC Regular" w:eastAsia="Kaiti SC Regular" w:hAnsi="Kaiti SC Regular" w:hint="eastAsia"/>
          <w:sz w:val="20"/>
          <w:szCs w:val="20"/>
        </w:rPr>
        <w:t>个是</w:t>
      </w:r>
      <w:proofErr w:type="spellStart"/>
      <w:r w:rsidRPr="00B9510C">
        <w:rPr>
          <w:rFonts w:ascii="Kaiti SC Regular" w:eastAsia="Kaiti SC Regular" w:hAnsi="Kaiti SC Regular" w:hint="eastAsia"/>
          <w:sz w:val="20"/>
          <w:szCs w:val="20"/>
        </w:rPr>
        <w:t>Infinium</w:t>
      </w:r>
      <w:proofErr w:type="spellEnd"/>
      <w:r w:rsidRPr="00B9510C">
        <w:rPr>
          <w:rFonts w:ascii="Kaiti SC Regular" w:eastAsia="Kaiti SC Regular" w:hAnsi="Kaiti SC Regular" w:hint="eastAsia"/>
          <w:sz w:val="20"/>
          <w:szCs w:val="20"/>
        </w:rPr>
        <w:t xml:space="preserve"> I probe（如上图所示），</w:t>
      </w:r>
      <w:r w:rsidRPr="00B9510C">
        <w:rPr>
          <w:rFonts w:ascii="Kaiti SC Regular" w:eastAsia="Kaiti SC Regular" w:hAnsi="Kaiti SC Regular"/>
          <w:sz w:val="20"/>
          <w:szCs w:val="20"/>
        </w:rPr>
        <w:t>350,076</w:t>
      </w:r>
      <w:r w:rsidRPr="00B9510C">
        <w:rPr>
          <w:rFonts w:ascii="Kaiti SC Regular" w:eastAsia="Kaiti SC Regular" w:hAnsi="Kaiti SC Regular" w:hint="eastAsia"/>
          <w:sz w:val="20"/>
          <w:szCs w:val="20"/>
        </w:rPr>
        <w:t>个</w:t>
      </w:r>
      <w:proofErr w:type="spellStart"/>
      <w:r w:rsidRPr="00B9510C">
        <w:rPr>
          <w:rFonts w:ascii="Kaiti SC Regular" w:eastAsia="Kaiti SC Regular" w:hAnsi="Kaiti SC Regular" w:hint="eastAsia"/>
          <w:sz w:val="20"/>
          <w:szCs w:val="20"/>
        </w:rPr>
        <w:t>Infinium</w:t>
      </w:r>
      <w:proofErr w:type="spellEnd"/>
      <w:r w:rsidRPr="00B9510C">
        <w:rPr>
          <w:rFonts w:ascii="Kaiti SC Regular" w:eastAsia="Kaiti SC Regular" w:hAnsi="Kaiti SC Regular" w:hint="eastAsia"/>
          <w:sz w:val="20"/>
          <w:szCs w:val="20"/>
        </w:rPr>
        <w:t xml:space="preserve"> II probe[图片来自</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w:t>
      </w:r>
      <w:r>
        <w:rPr>
          <w:rFonts w:ascii="Kaiti SC Regular" w:eastAsia="Kaiti SC Regular" w:hAnsi="Kaiti SC Regular" w:hint="eastAsia"/>
          <w:sz w:val="20"/>
          <w:szCs w:val="20"/>
        </w:rPr>
        <w:t>，II型的probe采用的是单探针设计。</w:t>
      </w:r>
      <w:r w:rsidRPr="00B9510C">
        <w:rPr>
          <w:rFonts w:ascii="Kaiti SC Regular" w:eastAsia="Kaiti SC Regular" w:hAnsi="Kaiti SC Regular"/>
          <w:sz w:val="20"/>
          <w:szCs w:val="20"/>
        </w:rPr>
        <w:br/>
      </w:r>
      <w:r w:rsidRPr="00B9510C">
        <w:rPr>
          <w:rFonts w:ascii="Kaiti SC Regular" w:eastAsia="Kaiti SC Regular" w:hAnsi="Kaiti SC Regular"/>
          <w:noProof/>
          <w:sz w:val="20"/>
          <w:szCs w:val="20"/>
          <w:lang w:eastAsia="en-US"/>
        </w:rPr>
        <w:drawing>
          <wp:inline distT="0" distB="0" distL="0" distR="0" wp14:anchorId="02251F00" wp14:editId="6522E611">
            <wp:extent cx="4107180" cy="1470660"/>
            <wp:effectExtent l="50800" t="50800" r="58420" b="533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1470660"/>
                    </a:xfrm>
                    <a:prstGeom prst="rect">
                      <a:avLst/>
                    </a:prstGeom>
                    <a:noFill/>
                    <a:ln w="38100">
                      <a:solidFill>
                        <a:schemeClr val="accent5"/>
                      </a:solidFill>
                    </a:ln>
                  </pic:spPr>
                </pic:pic>
              </a:graphicData>
            </a:graphic>
          </wp:inline>
        </w:drawing>
      </w:r>
    </w:p>
    <w:p w14:paraId="11410012"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hint="eastAsia"/>
          <w:sz w:val="20"/>
          <w:szCs w:val="20"/>
        </w:rPr>
        <w:t>使用</w:t>
      </w:r>
      <w:proofErr w:type="spellStart"/>
      <w:r w:rsidRPr="00B9510C">
        <w:rPr>
          <w:rFonts w:ascii="Kaiti SC Regular" w:eastAsia="Kaiti SC Regular" w:hAnsi="Kaiti SC Regular" w:hint="eastAsia"/>
          <w:sz w:val="20"/>
          <w:szCs w:val="20"/>
        </w:rPr>
        <w:t>Illumina</w:t>
      </w:r>
      <w:proofErr w:type="spellEnd"/>
      <w:r w:rsidRPr="00B9510C">
        <w:rPr>
          <w:rFonts w:ascii="Kaiti SC Regular" w:eastAsia="Kaiti SC Regular" w:hAnsi="Kaiti SC Regular" w:hint="eastAsia"/>
          <w:sz w:val="20"/>
          <w:szCs w:val="20"/>
        </w:rPr>
        <w:t>自带的</w:t>
      </w:r>
      <w:proofErr w:type="spellStart"/>
      <w:r w:rsidRPr="00B9510C">
        <w:rPr>
          <w:rFonts w:ascii="Kaiti SC Regular" w:eastAsia="Kaiti SC Regular" w:hAnsi="Kaiti SC Regular" w:hint="eastAsia"/>
          <w:sz w:val="20"/>
          <w:szCs w:val="20"/>
        </w:rPr>
        <w:t>GenomeStudio</w:t>
      </w:r>
      <w:proofErr w:type="spellEnd"/>
      <w:r w:rsidRPr="00B9510C">
        <w:rPr>
          <w:rFonts w:ascii="Kaiti SC Regular" w:eastAsia="Kaiti SC Regular" w:hAnsi="Kaiti SC Regular" w:hint="eastAsia"/>
          <w:sz w:val="20"/>
          <w:szCs w:val="20"/>
        </w:rPr>
        <w:t>，450K甲基化芯片可以探测位点的甲基化(m)或者非甲基化(u)，甲基化信号可以计算为</w:t>
      </w:r>
      <m:oMath>
        <m:r>
          <w:rPr>
            <w:rFonts w:ascii="Cambria Math" w:eastAsia="Kaiti SC Regular" w:hAnsi="Cambria Math"/>
            <w:sz w:val="20"/>
            <w:szCs w:val="20"/>
          </w:rPr>
          <m:t>β=</m:t>
        </m:r>
        <m:f>
          <m:fPr>
            <m:ctrlPr>
              <w:rPr>
                <w:rFonts w:ascii="Cambria Math" w:eastAsia="Kaiti SC Regular" w:hAnsi="Cambria Math"/>
                <w:i/>
                <w:sz w:val="20"/>
                <w:szCs w:val="20"/>
              </w:rPr>
            </m:ctrlPr>
          </m:fPr>
          <m:num>
            <m:r>
              <w:rPr>
                <w:rFonts w:ascii="Cambria Math" w:eastAsia="Kaiti SC Regular" w:hAnsi="Cambria Math"/>
                <w:sz w:val="20"/>
                <w:szCs w:val="20"/>
              </w:rPr>
              <m:t>intensity of methylated allele M</m:t>
            </m:r>
          </m:num>
          <m:den>
            <m:r>
              <w:rPr>
                <w:rFonts w:ascii="Cambria Math" w:eastAsia="Kaiti SC Regular" w:hAnsi="Cambria Math"/>
                <w:sz w:val="20"/>
                <w:szCs w:val="20"/>
              </w:rPr>
              <m:t>[intensity of methylated allele</m:t>
            </m:r>
            <m:d>
              <m:dPr>
                <m:ctrlPr>
                  <w:rPr>
                    <w:rFonts w:ascii="Cambria Math" w:eastAsia="Kaiti SC Regular" w:hAnsi="Cambria Math"/>
                    <w:i/>
                    <w:sz w:val="20"/>
                    <w:szCs w:val="20"/>
                  </w:rPr>
                </m:ctrlPr>
              </m:dPr>
              <m:e>
                <m:r>
                  <w:rPr>
                    <w:rFonts w:ascii="Cambria Math" w:eastAsia="Kaiti SC Regular" w:hAnsi="Cambria Math"/>
                    <w:sz w:val="20"/>
                    <w:szCs w:val="20"/>
                  </w:rPr>
                  <m:t>U</m:t>
                </m:r>
              </m:e>
            </m:d>
            <m:r>
              <w:rPr>
                <w:rFonts w:ascii="Cambria Math" w:eastAsia="Kaiti SC Regular" w:hAnsi="Cambria Math"/>
                <w:sz w:val="20"/>
                <w:szCs w:val="20"/>
              </w:rPr>
              <m:t>+100]</m:t>
            </m:r>
          </m:den>
        </m:f>
      </m:oMath>
      <w:r w:rsidRPr="00B9510C">
        <w:rPr>
          <w:rFonts w:ascii="Kaiti SC Regular" w:eastAsia="Kaiti SC Regular" w:hAnsi="Kaiti SC Regular"/>
          <w:sz w:val="20"/>
          <w:szCs w:val="20"/>
        </w:rPr>
        <w:t xml:space="preserve"> </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{"citationItems":[{"id":"ITEM-1","itemData":{"DOI":"10.1016/j.ygeno.2011.07.007","ISBN":"1089-8646 (Electronic)\\r0888-7543 (Linking)","ISSN":"08887543","PMID":"21839163","abstract":"We have developed a new generation of genome-wide DNA methylation BeadChip which allows high-throughput methylation profiling of the human genome. The new high density BeadChip can assay over 480K CpG sites and analyze twelve samples in parallel. The innovative content includes coverage of 99% of RefSeq genes with multiple probes per gene, 96% of CpG islands from the UCSC database, CpG island shores and additional content selected from whole-genome bisulfite sequencing data and input from DNA methylation experts. The well-characterized Infinium® Assay is used for analysis of CpG methylation using bisulfite-converted genomic DNA. We applied this technology to analyze DNA methylation in normal and tumor DNA samples and compared results with whole-genome bisulfite sequencing (WGBS) data obtained for the same samples. Highly comparable DNA methylation profiles were generated by the array and sequencing methods (average R 2 of 0.95). The ability to determine genome-wide methylation patterns will rapidly advance methylation research. © 2011 Elsevier Inc.","author":[{"dropping-particle":"","family":"Bibikova","given":"Marina","non-dropping-particle":"","parse-names":false,"suffix":""},{"dropping-particle":"","family":"Barnes","given":"Bret","non-dropping-particle":"","parse-names":false,"suffix":""},{"dropping-particle":"","family":"Tsan","given":"Chan","non-dropping-particle":"","parse-names":false,"suffix":""},{"dropping-particle":"","family":"Ho","given":"Vincent","non-dropping-particle":"","parse-names":false,"suffix":""},{"dropping-particle":"","family":"Klotzle","given":"Brandy","non-dropping-particle":"","parse-names":false,"suffix":""},{"dropping-particle":"","family":"Le","given":"Jennie M.","non-dropping-particle":"","parse-names":false,"suffix":""},{"dropping-particle":"","family":"Delano","given":"David","non-dropping-particle":"","parse-names":false,"suffix":""},{"dropping-particle":"","family":"Zhang","given":"Lu","non-dropping-particle":"","parse-names":false,"suffix":""},{"dropping-particle":"","family":"Schroth","given":"Gary P.","non-dropping-particle":"","parse-names":false,"suffix":""},{"dropping-particle":"","family":"Gunderson","given":"Kevin L.","non-dropping-particle":"","parse-names":false,"suffix":""},{"dropping-particle":"","family":"Fan","given":"Jian Bing","non-dropping-particle":"","parse-names":false,"suffix":""},{"dropping-particle":"","family":"Shen","given":"Richard","non-dropping-particle":"","parse-names":false,"suffix":""}],"container-title":"Genomics","id":"ITEM-1","issue":"4","issued":{"date-parts":[["2011"]]},"page":"288-295","publisher":"Elsevier Inc.","title":"High density DNA methylation array with single CpG site resolution","type":"article-journal","volume":"98"},"uris":["http://www.mendeley.com/documents/?uuid=d4a75d60-abf9-4f8d-b3bf-c82efb16e822"]}],"mendeley":{"formattedCitation":"(Bibikova &lt;i&gt;et al.&lt;/i&gt; 2011)","plainTextFormattedCitation":"(Bibikova et al. 2011)","previouslyFormattedCitation":"(Bibikova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(Bibikova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w:t>
      </w:r>
    </w:p>
    <w:p w14:paraId="05AC7C46" w14:textId="77777777" w:rsidR="009A0738" w:rsidRPr="00B9510C" w:rsidRDefault="009A0738" w:rsidP="009A0738">
      <w:pPr>
        <w:rPr>
          <w:rFonts w:ascii="Kaiti SC Regular" w:eastAsia="Kaiti SC Regular" w:hAnsi="Kaiti SC Regular"/>
          <w:sz w:val="20"/>
          <w:szCs w:val="20"/>
        </w:rPr>
      </w:pPr>
      <m:oMath>
        <m:r>
          <w:rPr>
            <w:rFonts w:ascii="Cambria Math" w:eastAsia="Kaiti SC Regular" w:hAnsi="Cambria Math"/>
            <w:sz w:val="20"/>
            <w:szCs w:val="20"/>
          </w:rPr>
          <m:t>M=</m:t>
        </m:r>
        <m:func>
          <m:funcPr>
            <m:ctrlPr>
              <w:rPr>
                <w:rFonts w:ascii="Cambria Math" w:eastAsia="Kaiti SC Regular" w:hAnsi="Cambria Math"/>
                <w:i/>
                <w:sz w:val="20"/>
                <w:szCs w:val="20"/>
              </w:rPr>
            </m:ctrlPr>
          </m:funcPr>
          <m:fName>
            <m:sSub>
              <m:sSubPr>
                <m:ctrlPr>
                  <w:rPr>
                    <w:rFonts w:ascii="Cambria Math" w:eastAsia="Kaiti SC Regular" w:hAnsi="Cambria Math"/>
                    <w:sz w:val="20"/>
                    <w:szCs w:val="20"/>
                  </w:rPr>
                </m:ctrlPr>
              </m:sSubPr>
              <m:e>
                <m:r>
                  <m:rPr>
                    <m:sty m:val="p"/>
                  </m:rPr>
                  <w:rPr>
                    <w:rFonts w:ascii="Cambria Math" w:eastAsia="Kaiti SC Regular" w:hAnsi="Cambria Math"/>
                    <w:sz w:val="20"/>
                    <w:szCs w:val="20"/>
                  </w:rPr>
                  <m:t>log</m:t>
                </m:r>
              </m:e>
              <m:sub>
                <m:r>
                  <w:rPr>
                    <w:rFonts w:ascii="Cambria Math" w:eastAsia="Kaiti SC Regular" w:hAnsi="Cambria Math"/>
                    <w:sz w:val="20"/>
                    <w:szCs w:val="20"/>
                  </w:rPr>
                  <m:t>2</m:t>
                </m:r>
              </m:sub>
            </m:sSub>
          </m:fName>
          <m:e>
            <m:f>
              <m:fPr>
                <m:ctrlPr>
                  <w:rPr>
                    <w:rFonts w:ascii="Cambria Math" w:eastAsia="Kaiti SC Regular" w:hAnsi="Cambria Math"/>
                    <w:i/>
                    <w:sz w:val="20"/>
                    <w:szCs w:val="20"/>
                  </w:rPr>
                </m:ctrlPr>
              </m:fPr>
              <m:num>
                <m:func>
                  <m:funcPr>
                    <m:ctrlPr>
                      <w:rPr>
                        <w:rFonts w:ascii="Cambria Math" w:eastAsia="Kaiti SC Regular" w:hAnsi="Cambria Math"/>
                        <w:sz w:val="20"/>
                        <w:szCs w:val="20"/>
                      </w:rPr>
                    </m:ctrlPr>
                  </m:funcPr>
                  <m:fName>
                    <m:r>
                      <m:rPr>
                        <m:sty m:val="p"/>
                      </m:rPr>
                      <w:rPr>
                        <w:rFonts w:ascii="Cambria Math" w:eastAsia="Kaiti SC Regular" w:hAnsi="Cambria Math"/>
                        <w:sz w:val="20"/>
                        <w:szCs w:val="20"/>
                      </w:rPr>
                      <m:t>max</m:t>
                    </m:r>
                  </m:fName>
                  <m:e>
                    <m:d>
                      <m:dPr>
                        <m:ctrlPr>
                          <w:rPr>
                            <w:rFonts w:ascii="Cambria Math" w:eastAsia="Kaiti SC Regular" w:hAnsi="Cambria Math"/>
                            <w:i/>
                            <w:sz w:val="20"/>
                            <w:szCs w:val="20"/>
                          </w:rPr>
                        </m:ctrlPr>
                      </m:dPr>
                      <m:e>
                        <m:r>
                          <w:rPr>
                            <w:rFonts w:ascii="Cambria Math" w:eastAsia="Kaiti SC Regular" w:hAnsi="Cambria Math"/>
                            <w:sz w:val="20"/>
                            <w:szCs w:val="20"/>
                          </w:rPr>
                          <m:t>methy,0</m:t>
                        </m:r>
                      </m:e>
                    </m:d>
                  </m:e>
                </m:func>
                <m:r>
                  <w:rPr>
                    <w:rFonts w:ascii="Cambria Math" w:eastAsia="Kaiti SC Regular" w:hAnsi="Cambria Math"/>
                    <w:sz w:val="20"/>
                    <w:szCs w:val="20"/>
                  </w:rPr>
                  <m:t>+α</m:t>
                </m:r>
              </m:num>
              <m:den>
                <m:func>
                  <m:funcPr>
                    <m:ctrlPr>
                      <w:rPr>
                        <w:rFonts w:ascii="Cambria Math" w:eastAsia="Kaiti SC Regular" w:hAnsi="Cambria Math"/>
                        <w:sz w:val="20"/>
                        <w:szCs w:val="20"/>
                      </w:rPr>
                    </m:ctrlPr>
                  </m:funcPr>
                  <m:fName>
                    <m:r>
                      <m:rPr>
                        <m:sty m:val="p"/>
                      </m:rPr>
                      <w:rPr>
                        <w:rFonts w:ascii="Cambria Math" w:eastAsia="Kaiti SC Regular" w:hAnsi="Cambria Math"/>
                        <w:sz w:val="20"/>
                        <w:szCs w:val="20"/>
                      </w:rPr>
                      <m:t>max</m:t>
                    </m:r>
                  </m:fName>
                  <m:e>
                    <m:d>
                      <m:dPr>
                        <m:ctrlPr>
                          <w:rPr>
                            <w:rFonts w:ascii="Cambria Math" w:eastAsia="Kaiti SC Regular" w:hAnsi="Cambria Math"/>
                            <w:i/>
                            <w:sz w:val="20"/>
                            <w:szCs w:val="20"/>
                          </w:rPr>
                        </m:ctrlPr>
                      </m:dPr>
                      <m:e>
                        <m:r>
                          <w:rPr>
                            <w:rFonts w:ascii="Cambria Math" w:eastAsia="Kaiti SC Regular" w:hAnsi="Cambria Math"/>
                            <w:sz w:val="20"/>
                            <w:szCs w:val="20"/>
                          </w:rPr>
                          <m:t>unmethy,0</m:t>
                        </m:r>
                      </m:e>
                    </m:d>
                  </m:e>
                </m:func>
                <m:r>
                  <w:rPr>
                    <w:rFonts w:ascii="Cambria Math" w:eastAsia="Kaiti SC Regular" w:hAnsi="Cambria Math"/>
                    <w:sz w:val="20"/>
                    <w:szCs w:val="20"/>
                  </w:rPr>
                  <m:t>+α</m:t>
                </m:r>
              </m:den>
            </m:f>
          </m:e>
        </m:func>
      </m:oMath>
      <w:r w:rsidRPr="00B9510C">
        <w:rPr>
          <w:rFonts w:ascii="Kaiti SC Regular" w:eastAsia="Kaiti SC Regular" w:hAnsi="Kaiti SC Regular"/>
          <w:sz w:val="20"/>
          <w:szCs w:val="20"/>
        </w:rPr>
        <w:t xml:space="preserve">, </w:t>
      </w:r>
      <w:r w:rsidRPr="00B9510C">
        <w:rPr>
          <w:rFonts w:ascii="Kaiti SC Regular" w:eastAsia="Kaiti SC Regular" w:hAnsi="Kaiti SC Regular" w:hint="eastAsia"/>
          <w:sz w:val="20"/>
          <w:szCs w:val="20"/>
        </w:rPr>
        <w:t>默认</w:t>
      </w:r>
      <m:oMath>
        <m:r>
          <w:rPr>
            <w:rFonts w:ascii="Cambria Math" w:eastAsia="Kaiti SC Regular" w:hAnsi="Cambria Math"/>
            <w:sz w:val="20"/>
            <w:szCs w:val="20"/>
          </w:rPr>
          <m:t>α=1</m:t>
        </m:r>
      </m:oMath>
      <w:r w:rsidRPr="00B9510C">
        <w:rPr>
          <w:rFonts w:ascii="Kaiti SC Regular" w:eastAsia="Kaiti SC Regular" w:hAnsi="Kaiti SC Regular" w:hint="eastAsia"/>
          <w:sz w:val="20"/>
          <w:szCs w:val="20"/>
        </w:rPr>
        <w:t xml:space="preserve">, </w:t>
      </w:r>
      <m:oMath>
        <m:r>
          <w:rPr>
            <w:rFonts w:ascii="Cambria Math" w:eastAsia="Kaiti SC Regular" w:hAnsi="Cambria Math"/>
            <w:sz w:val="20"/>
            <w:szCs w:val="20"/>
          </w:rPr>
          <m:t>β=</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2</m:t>
                </m:r>
              </m:e>
              <m:sup>
                <m:r>
                  <w:rPr>
                    <w:rFonts w:ascii="Cambria Math" w:eastAsia="Kaiti SC Regular" w:hAnsi="Cambria Math"/>
                    <w:sz w:val="20"/>
                    <w:szCs w:val="20"/>
                  </w:rPr>
                  <m:t>M</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2</m:t>
                </m:r>
              </m:e>
              <m:sup>
                <m:r>
                  <w:rPr>
                    <w:rFonts w:ascii="Cambria Math" w:eastAsia="Kaiti SC Regular" w:hAnsi="Cambria Math"/>
                    <w:sz w:val="20"/>
                    <w:szCs w:val="20"/>
                  </w:rPr>
                  <m:t>M</m:t>
                </m:r>
              </m:sup>
            </m:sSup>
            <m:r>
              <w:rPr>
                <w:rFonts w:ascii="Cambria Math" w:eastAsia="Kaiti SC Regular" w:hAnsi="Cambria Math"/>
                <w:sz w:val="20"/>
                <w:szCs w:val="20"/>
              </w:rPr>
              <m:t>+1</m:t>
            </m:r>
          </m:den>
        </m:f>
      </m:oMath>
      <w:r w:rsidRPr="00B9510C">
        <w:rPr>
          <w:rFonts w:ascii="Kaiti SC Regular" w:eastAsia="Kaiti SC Regular" w:hAnsi="Kaiti SC Regular" w:hint="eastAsia"/>
          <w:sz w:val="20"/>
          <w:szCs w:val="20"/>
        </w:rPr>
        <w:t>。</w:t>
      </w:r>
    </w:p>
    <w:p w14:paraId="452832B7" w14:textId="77777777" w:rsidR="009A0738" w:rsidRDefault="009A0738" w:rsidP="009A0738">
      <w:pPr>
        <w:rPr>
          <w:rFonts w:ascii="Kaiti SC Regular" w:eastAsia="Kaiti SC Regular" w:hAnsi="Kaiti SC Regular"/>
          <w:sz w:val="20"/>
          <w:szCs w:val="20"/>
        </w:rPr>
      </w:pPr>
      <w:r w:rsidRPr="00B9510C">
        <w:rPr>
          <w:rFonts w:ascii="Kaiti SC Regular" w:eastAsia="Kaiti SC Regular" w:hAnsi="Kaiti SC Regular" w:hint="eastAsia"/>
          <w:sz w:val="20"/>
          <w:szCs w:val="20"/>
        </w:rPr>
        <w:t>但</w:t>
      </w:r>
      <w:proofErr w:type="spellStart"/>
      <w:r w:rsidRPr="00B9510C">
        <w:rPr>
          <w:rFonts w:ascii="Kaiti SC Regular" w:eastAsia="Kaiti SC Regular" w:hAnsi="Kaiti SC Regular" w:hint="eastAsia"/>
          <w:sz w:val="20"/>
          <w:szCs w:val="20"/>
        </w:rPr>
        <w:t>Lehne</w:t>
      </w:r>
      <w:proofErr w:type="spellEnd"/>
      <w:r w:rsidRPr="00B9510C">
        <w:rPr>
          <w:rFonts w:ascii="Kaiti SC Regular" w:eastAsia="Kaiti SC Regular" w:hAnsi="Kaiti SC Regular" w:hint="eastAsia"/>
          <w:sz w:val="20"/>
          <w:szCs w:val="20"/>
        </w:rPr>
        <w:t>[</w:t>
      </w:r>
      <w:r w:rsidRPr="00B9510C">
        <w:rPr>
          <w:rFonts w:ascii="Kaiti SC Regular" w:eastAsia="Kaiti SC Regular" w:hAnsi="Kaiti SC Regular" w:hint="eastAsia"/>
          <w:sz w:val="20"/>
          <w:szCs w:val="20"/>
          <w:highlight w:val="yellow"/>
        </w:rPr>
        <w:t>GSE55763</w:t>
      </w:r>
      <w:r w:rsidRPr="00B9510C">
        <w:rPr>
          <w:rFonts w:ascii="Kaiti SC Regular" w:eastAsia="Kaiti SC Regular" w:hAnsi="Kaiti SC Regular" w:hint="eastAsia"/>
          <w:sz w:val="20"/>
          <w:szCs w:val="20"/>
        </w:rPr>
        <w:t>]等人建议使用不同的转化</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{"citationItems":[{"id":"ITEM-1","itemData":{"DOI":"10.1186/s13059-015-0600-x","ISBN":"0000000000","ISSN":"1474760X","PMID":"25853392","abstract":"DNA methylation plays a fundamental role in the regulation of the genome, but the optimal strategy for analysis of genome-wide DNA methylation data remains to be determined. We developed a comprehensive analysis pipeline for epigenome-wide association studies (EWAS) using the Illumina Infinium HumanMethylation450 BeadChip, based on 2,687 individuals, with 36 samples measured in duplicate. We propose new approaches to quality control, data normalisation and batch correction through control-probe adjustment and establish a null hypothesis for EWAS using permutation testing. Our analysis pipeline outperforms existing approaches, enabling accurate identification of methylation quantitative trait loci for hypothesis driven follow-up experiments.","author":[{"dropping-particle":"","family":"Lehne","given":"Benjamin","non-dropping-particle":"","parse-names":false,"suffix":""},{"dropping-particle":"","family":"Drong","given":"Alexander W.","non-dropping-particle":"","parse-names":false,"suffix":""},{"dropping-particle":"","family":"Loh","given":"Marie","non-dropping-particle":"","parse-names":false,"suffix":""},{"dropping-particle":"","family":"Zhang","given":"Weihua","non-dropping-particle":"","parse-names":false,"suffix":""},{"dropping-particle":"","family":"Scott","given":"William R.","non-dropping-particle":"","parse-names":false,"suffix":""},{"dropping-particle":"","family":"Tan","given":"Sian Tsung","non-dropping-particle":"","parse-names":false,"suffix":""},{"dropping-particle":"","family":"Afzal","given":"Uzma","non-dropping-particle":"","parse-names":false,"suffix":""},{"dropping-particle":"","family":"Scott","given":"James","non-dropping-particle":"","parse-names":false,"suffix":""},{"dropping-particle":"","family":"Jarvelin","given":"Marjo Riitta","non-dropping-particle":"","parse-names":false,"suffix":""},{"dropping-particle":"","family":"Elliott","given":"Paul","non-dropping-particle":"","parse-names":false,"suffix":""},{"dropping-particle":"","family":"McCarthy","given":"Mark I.","non-dropping-particle":"","parse-names":false,"suffix":""},{"dropping-particle":"","family":"Kooner","given":"Jaspal S.","non-dropping-particle":"","parse-names":false,"suffix":""},{"dropping-particle":"","family":"Chambers","given":"John C.","non-dropping-particle":"","parse-names":false,"suffix":""}],"container-title":"Genome Biology","id":"ITEM-1","issue":"1","issued":{"date-parts":[["2015"]]},"page":"37","title":"A coherent approach for analysis of the Illumina HumanMethylation450 BeadChip improves data quality and performance in epigenome-wide association studies","type":"article-journal","volume":"16"},"uris":["http://www.mendeley.com/documents/?uuid=d46dbbba-fab4-46e6-a78b-2d9c74a76ba9"]}],"mendeley":{"formattedCitation":"(Lehne &lt;i&gt;et al.&lt;/i&gt; 2015)","plainTextFormattedCitation":"(Lehne et al. 2015)","previouslyFormattedCitation":"(Lehne &lt;i&gt;et al.&lt;/i&gt; 2015)"},"properties":{"noteIndex":0},"schema":"https://github.com/citation-style-language/schema/raw/master/csl-citation.json"}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(Lehne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2015)</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，甲基化位点的强度信号</w:t>
      </w:r>
      <m:oMath>
        <m:r>
          <w:rPr>
            <w:rFonts w:ascii="Cambria Math" w:eastAsia="Kaiti SC Regular" w:hAnsi="Cambria Math"/>
            <w:sz w:val="20"/>
            <w:szCs w:val="20"/>
          </w:rPr>
          <m:t>M</m:t>
        </m:r>
        <m:r>
          <w:rPr>
            <w:rFonts w:ascii="Cambria Math" w:eastAsia="Kaiti SC Regular" w:hAnsi="Cambria Math" w:cs="STIXGeneral-Regular"/>
            <w:sz w:val="20"/>
            <w:szCs w:val="20"/>
          </w:rPr>
          <m:t>=</m:t>
        </m:r>
        <m:func>
          <m:funcPr>
            <m:ctrlPr>
              <w:rPr>
                <w:rFonts w:ascii="Cambria Math" w:eastAsia="Kaiti SC Regular" w:hAnsi="Cambria Math" w:cs="STIXGeneral-Regular"/>
                <w:i/>
                <w:sz w:val="20"/>
                <w:szCs w:val="20"/>
              </w:rPr>
            </m:ctrlPr>
          </m:funcPr>
          <m:fName>
            <m:sSub>
              <m:sSubPr>
                <m:ctrlPr>
                  <w:rPr>
                    <w:rFonts w:ascii="Cambria Math" w:eastAsia="Kaiti SC Regular" w:hAnsi="Cambria Math" w:cs="STIXGeneral-Regular"/>
                    <w:i/>
                    <w:sz w:val="20"/>
                    <w:szCs w:val="20"/>
                  </w:rPr>
                </m:ctrlPr>
              </m:sSubPr>
              <m:e>
                <m:r>
                  <m:rPr>
                    <m:sty m:val="p"/>
                  </m:rPr>
                  <w:rPr>
                    <w:rFonts w:ascii="Cambria Math" w:eastAsia="Kaiti SC Regular" w:hAnsi="Cambria Math" w:cs="STIXGeneral-Regular"/>
                    <w:sz w:val="20"/>
                    <w:szCs w:val="20"/>
                  </w:rPr>
                  <m:t>log</m:t>
                </m:r>
                <m:ctrlPr>
                  <w:rPr>
                    <w:rFonts w:ascii="Cambria Math" w:eastAsia="Kaiti SC Regular" w:hAnsi="Cambria Math" w:cs="STIXGeneral-Regular"/>
                    <w:sz w:val="20"/>
                    <w:szCs w:val="20"/>
                  </w:rPr>
                </m:ctrlPr>
              </m:e>
              <m:sub>
                <m:r>
                  <w:rPr>
                    <w:rFonts w:ascii="Cambria Math" w:eastAsia="Kaiti SC Regular" w:hAnsi="Cambria Math" w:cs="STIXGeneral-Regular"/>
                    <w:sz w:val="20"/>
                    <w:szCs w:val="20"/>
                  </w:rPr>
                  <m:t>2</m:t>
                </m:r>
                <m:ctrlPr>
                  <w:rPr>
                    <w:rFonts w:ascii="Cambria Math" w:eastAsia="Kaiti SC Regular" w:hAnsi="Cambria Math" w:cs="STIXGeneral-Regular"/>
                    <w:sz w:val="20"/>
                    <w:szCs w:val="20"/>
                  </w:rPr>
                </m:ctrlPr>
              </m:sub>
            </m:sSub>
          </m:fName>
          <m:e>
            <m:f>
              <m:fPr>
                <m:ctrlPr>
                  <w:rPr>
                    <w:rFonts w:ascii="Cambria Math" w:eastAsia="Kaiti SC Regular" w:hAnsi="Cambria Math" w:cs="STIXGeneral-Regular"/>
                    <w:i/>
                    <w:sz w:val="20"/>
                    <w:szCs w:val="20"/>
                  </w:rPr>
                </m:ctrlPr>
              </m:fPr>
              <m:num>
                <m:r>
                  <w:rPr>
                    <w:rFonts w:ascii="Cambria Math" w:eastAsia="Kaiti SC Regular" w:hAnsi="Cambria Math" w:cs="STIXGeneral-Regular"/>
                    <w:sz w:val="20"/>
                    <w:szCs w:val="20"/>
                  </w:rPr>
                  <m:t>m+1</m:t>
                </m:r>
              </m:num>
              <m:den>
                <m:r>
                  <w:rPr>
                    <w:rFonts w:ascii="Cambria Math" w:eastAsia="Kaiti SC Regular" w:hAnsi="Cambria Math" w:cs="STIXGeneral-Regular"/>
                    <w:sz w:val="20"/>
                    <w:szCs w:val="20"/>
                  </w:rPr>
                  <m:t>u+1</m:t>
                </m:r>
              </m:den>
            </m:f>
          </m:e>
        </m:func>
      </m:oMath>
      <w:r w:rsidRPr="00B9510C">
        <w:rPr>
          <w:rFonts w:ascii="Kaiti SC Regular" w:eastAsia="Kaiti SC Regular" w:hAnsi="Kaiti SC Regular" w:hint="eastAsia"/>
          <w:sz w:val="20"/>
          <w:szCs w:val="20"/>
        </w:rPr>
        <w:t>，经过转化可以得到甲基化的值</w:t>
      </w:r>
      <m:oMath>
        <m:r>
          <w:rPr>
            <w:rFonts w:ascii="Cambria Math" w:eastAsia="Kaiti SC Regular" w:hAnsi="Cambria Math"/>
            <w:sz w:val="20"/>
            <w:szCs w:val="20"/>
          </w:rPr>
          <m:t>β=</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2</m:t>
                </m:r>
              </m:e>
              <m:sup>
                <m:r>
                  <w:rPr>
                    <w:rFonts w:ascii="Cambria Math" w:eastAsia="Kaiti SC Regular" w:hAnsi="Cambria Math"/>
                    <w:sz w:val="20"/>
                    <w:szCs w:val="20"/>
                  </w:rPr>
                  <m:t>M</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2</m:t>
                </m:r>
              </m:e>
              <m:sup>
                <m:r>
                  <w:rPr>
                    <w:rFonts w:ascii="Cambria Math" w:eastAsia="Kaiti SC Regular" w:hAnsi="Cambria Math"/>
                    <w:sz w:val="20"/>
                    <w:szCs w:val="20"/>
                  </w:rPr>
                  <m:t>M</m:t>
                </m:r>
              </m:sup>
            </m:sSup>
            <m:r>
              <w:rPr>
                <w:rFonts w:ascii="Cambria Math" w:eastAsia="Kaiti SC Regular" w:hAnsi="Cambria Math"/>
                <w:sz w:val="20"/>
                <w:szCs w:val="20"/>
              </w:rPr>
              <m:t>+1</m:t>
            </m:r>
          </m:den>
        </m:f>
        <m:r>
          <w:rPr>
            <w:rFonts w:ascii="Cambria Math" w:eastAsia="Kaiti SC Regular" w:hAnsi="Cambria Math"/>
            <w:sz w:val="20"/>
            <w:szCs w:val="20"/>
          </w:rPr>
          <m:t xml:space="preserve"> </m:t>
        </m:r>
      </m:oMath>
      <w:r w:rsidRPr="00B9510C">
        <w:rPr>
          <w:rFonts w:ascii="Kaiti SC Regular" w:eastAsia="Kaiti SC Regular" w:hAnsi="Kaiti SC Regular" w:hint="eastAsia"/>
          <w:sz w:val="20"/>
          <w:szCs w:val="20"/>
        </w:rPr>
        <w:t>。</w:t>
      </w:r>
    </w:p>
    <w:p w14:paraId="3C3DDA95" w14:textId="77777777" w:rsidR="009A0738" w:rsidRDefault="009A0738" w:rsidP="009A0738">
      <w:pPr>
        <w:rPr>
          <w:rFonts w:ascii="Kaiti SC Regular" w:eastAsia="Kaiti SC Regular" w:hAnsi="Kaiti SC Regular"/>
          <w:sz w:val="20"/>
          <w:szCs w:val="20"/>
        </w:rPr>
      </w:pPr>
    </w:p>
    <w:p w14:paraId="124AC675" w14:textId="7037968F" w:rsidR="009A0738" w:rsidRPr="00B9510C" w:rsidRDefault="009A0738" w:rsidP="009A0738">
      <w:pPr>
        <w:rPr>
          <w:rFonts w:ascii="Kaiti SC Regular" w:eastAsia="Kaiti SC Regular" w:hAnsi="Kaiti SC Regular"/>
          <w:sz w:val="20"/>
          <w:szCs w:val="20"/>
        </w:rPr>
      </w:pPr>
      <w:r>
        <w:rPr>
          <w:rFonts w:ascii="Kaiti SC Regular" w:eastAsia="Kaiti SC Regular" w:hAnsi="Kaiti SC Regular" w:hint="eastAsia"/>
          <w:sz w:val="20"/>
          <w:szCs w:val="20"/>
        </w:rPr>
        <w:t>目前850K芯片已经上市，逐渐会成为主流应用。</w:t>
      </w:r>
    </w:p>
    <w:p w14:paraId="322E738B" w14:textId="77777777" w:rsidR="009A0738" w:rsidRDefault="009A0738" w:rsidP="009A0738">
      <w:pPr>
        <w:rPr>
          <w:rFonts w:ascii="Kaiti SC Regular" w:eastAsia="Kaiti SC Regular" w:hAnsi="Kaiti SC Regular"/>
          <w:sz w:val="20"/>
          <w:szCs w:val="20"/>
        </w:rPr>
      </w:pPr>
    </w:p>
    <w:p w14:paraId="460B9186" w14:textId="77777777" w:rsidR="009A0738" w:rsidRPr="00B9510C" w:rsidRDefault="009A0738" w:rsidP="009A0738">
      <w:pPr>
        <w:rPr>
          <w:rFonts w:ascii="Kaiti SC Regular" w:eastAsia="Kaiti SC Regular" w:hAnsi="Kaiti SC Regular"/>
          <w:sz w:val="20"/>
          <w:szCs w:val="20"/>
        </w:rPr>
      </w:pPr>
    </w:p>
    <w:p w14:paraId="3B1365E7" w14:textId="41D290D8" w:rsidR="009A0738" w:rsidRPr="009A0738" w:rsidRDefault="009A0738" w:rsidP="009A0738">
      <w:pPr>
        <w:rPr>
          <w:rFonts w:ascii="华文楷体" w:eastAsia="华文楷体" w:hAnsi="华文楷体"/>
          <w:b/>
          <w:u w:val="single"/>
        </w:rPr>
      </w:pPr>
      <w:r w:rsidRPr="009A0738">
        <w:rPr>
          <w:rFonts w:ascii="华文楷体" w:eastAsia="华文楷体" w:hAnsi="华文楷体" w:hint="eastAsia"/>
          <w:b/>
          <w:highlight w:val="green"/>
          <w:u w:val="single"/>
        </w:rPr>
        <w:t>问：甲基化分析中经常使用的几个术语</w:t>
      </w:r>
    </w:p>
    <w:p w14:paraId="7239108D" w14:textId="77777777" w:rsidR="009A0738" w:rsidRPr="00B9510C" w:rsidRDefault="009A0738" w:rsidP="009A0738">
      <w:pPr>
        <w:rPr>
          <w:rFonts w:ascii="华文楷体" w:eastAsia="华文楷体" w:hAnsi="华文楷体"/>
          <w:sz w:val="20"/>
          <w:szCs w:val="20"/>
        </w:rPr>
      </w:pPr>
      <w:r w:rsidRPr="00B9510C">
        <w:rPr>
          <w:rFonts w:ascii="华文楷体" w:eastAsia="华文楷体" w:hAnsi="华文楷体"/>
          <w:sz w:val="20"/>
          <w:szCs w:val="20"/>
          <w:u w:val="single"/>
        </w:rPr>
        <w:t>Beta value</w:t>
      </w:r>
      <w:r w:rsidRPr="00B9510C">
        <w:rPr>
          <w:rFonts w:ascii="华文楷体" w:eastAsia="华文楷体" w:hAnsi="华文楷体"/>
          <w:sz w:val="20"/>
          <w:szCs w:val="20"/>
        </w:rPr>
        <w:t xml:space="preserve">: </w:t>
      </w:r>
      <m:oMath>
        <m:f>
          <m:fPr>
            <m:ctrlPr>
              <w:rPr>
                <w:rFonts w:ascii="Cambria Math" w:eastAsia="华文楷体" w:hAnsi="Cambria Math"/>
                <w:i/>
                <w:sz w:val="20"/>
                <w:szCs w:val="20"/>
              </w:rPr>
            </m:ctrlPr>
          </m:fPr>
          <m:num>
            <m:r>
              <w:rPr>
                <w:rFonts w:ascii="Cambria Math" w:eastAsia="华文楷体" w:hAnsi="Cambria Math"/>
                <w:sz w:val="20"/>
                <w:szCs w:val="20"/>
              </w:rPr>
              <m:t>M</m:t>
            </m:r>
          </m:num>
          <m:den>
            <m:r>
              <w:rPr>
                <w:rFonts w:ascii="Cambria Math" w:eastAsia="华文楷体" w:hAnsi="Cambria Math"/>
                <w:sz w:val="20"/>
                <w:szCs w:val="20"/>
              </w:rPr>
              <m:t>M+U+100</m:t>
            </m:r>
          </m:den>
        </m:f>
      </m:oMath>
      <w:r w:rsidRPr="00B9510C">
        <w:rPr>
          <w:rFonts w:ascii="华文楷体" w:eastAsia="华文楷体" w:hAnsi="华文楷体" w:hint="eastAsia"/>
          <w:sz w:val="20"/>
          <w:szCs w:val="20"/>
        </w:rPr>
        <w:t>，</w:t>
      </w:r>
      <w:r w:rsidRPr="00B9510C">
        <w:rPr>
          <w:rFonts w:ascii="华文楷体" w:eastAsia="华文楷体" w:hAnsi="华文楷体"/>
          <w:sz w:val="20"/>
          <w:szCs w:val="20"/>
        </w:rPr>
        <w:t xml:space="preserve">or </w:t>
      </w:r>
      <m:oMath>
        <m:f>
          <m:fPr>
            <m:ctrlPr>
              <w:rPr>
                <w:rFonts w:ascii="Cambria Math" w:eastAsia="华文楷体" w:hAnsi="Cambria Math"/>
                <w:i/>
                <w:sz w:val="20"/>
                <w:szCs w:val="20"/>
              </w:rPr>
            </m:ctrlPr>
          </m:fPr>
          <m:num>
            <m:r>
              <w:rPr>
                <w:rFonts w:ascii="Cambria Math" w:eastAsia="华文楷体" w:hAnsi="Cambria Math"/>
                <w:sz w:val="20"/>
                <w:szCs w:val="20"/>
              </w:rPr>
              <m:t>M</m:t>
            </m:r>
          </m:num>
          <m:den>
            <m:r>
              <w:rPr>
                <w:rFonts w:ascii="Cambria Math" w:eastAsia="华文楷体" w:hAnsi="Cambria Math"/>
                <w:sz w:val="20"/>
                <w:szCs w:val="20"/>
              </w:rPr>
              <m:t>M+U</m:t>
            </m:r>
          </m:den>
        </m:f>
      </m:oMath>
      <w:r>
        <w:rPr>
          <w:rFonts w:ascii="华文楷体" w:eastAsia="华文楷体" w:hAnsi="华文楷体" w:hint="eastAsia"/>
          <w:sz w:val="20"/>
          <w:szCs w:val="20"/>
        </w:rPr>
        <w:t>[minif]</w:t>
      </w:r>
      <w:r w:rsidRPr="00B9510C">
        <w:rPr>
          <w:rFonts w:ascii="华文楷体" w:eastAsia="华文楷体" w:hAnsi="华文楷体" w:hint="eastAsia"/>
          <w:sz w:val="20"/>
          <w:szCs w:val="20"/>
        </w:rPr>
        <w:t>其中M和U是甲基化与非甲基化的信号</w:t>
      </w:r>
    </w:p>
    <w:p w14:paraId="123CF5EC" w14:textId="77777777" w:rsidR="009A0738" w:rsidRPr="00DB47C9" w:rsidRDefault="009A0738" w:rsidP="009A0738">
      <w:pPr>
        <w:rPr>
          <w:rFonts w:ascii="华文楷体" w:eastAsia="华文楷体" w:hAnsi="华文楷体"/>
          <w:sz w:val="20"/>
          <w:szCs w:val="20"/>
          <w:u w:val="single"/>
        </w:rPr>
      </w:pPr>
      <w:proofErr w:type="spellStart"/>
      <w:r w:rsidRPr="00B9510C">
        <w:rPr>
          <w:rFonts w:ascii="华文楷体" w:eastAsia="华文楷体" w:hAnsi="华文楷体" w:hint="eastAsia"/>
          <w:sz w:val="20"/>
          <w:szCs w:val="20"/>
          <w:u w:val="single"/>
        </w:rPr>
        <w:t>M</w:t>
      </w:r>
      <w:r>
        <w:rPr>
          <w:rFonts w:ascii="华文楷体" w:eastAsia="华文楷体" w:hAnsi="华文楷体"/>
          <w:sz w:val="20"/>
          <w:szCs w:val="20"/>
          <w:u w:val="single"/>
        </w:rPr>
        <w:t>V</w:t>
      </w:r>
      <w:r w:rsidRPr="00B9510C">
        <w:rPr>
          <w:rFonts w:ascii="华文楷体" w:eastAsia="华文楷体" w:hAnsi="华文楷体" w:hint="eastAsia"/>
          <w:sz w:val="20"/>
          <w:szCs w:val="20"/>
          <w:u w:val="single"/>
        </w:rPr>
        <w:t>alue</w:t>
      </w:r>
      <w:proofErr w:type="spellEnd"/>
      <w:r w:rsidRPr="00B9510C">
        <w:rPr>
          <w:rFonts w:ascii="华文楷体" w:eastAsia="华文楷体" w:hAnsi="华文楷体" w:hint="eastAsia"/>
          <w:sz w:val="20"/>
          <w:szCs w:val="20"/>
        </w:rPr>
        <w:t xml:space="preserve">: </w:t>
      </w:r>
      <m:oMath>
        <m:func>
          <m:funcPr>
            <m:ctrlPr>
              <w:rPr>
                <w:rFonts w:ascii="Cambria Math" w:eastAsia="华文楷体" w:hAnsi="Cambria Math"/>
                <w:sz w:val="20"/>
                <w:szCs w:val="20"/>
              </w:rPr>
            </m:ctrlPr>
          </m:funcPr>
          <m:fName>
            <m:sSub>
              <m:sSubPr>
                <m:ctrlPr>
                  <w:rPr>
                    <w:rFonts w:ascii="Cambria Math" w:eastAsia="华文楷体" w:hAnsi="Cambria Math"/>
                    <w:sz w:val="20"/>
                    <w:szCs w:val="20"/>
                  </w:rPr>
                </m:ctrlPr>
              </m:sSubPr>
              <m:e>
                <m:r>
                  <m:rPr>
                    <m:sty m:val="p"/>
                  </m:rPr>
                  <w:rPr>
                    <w:rFonts w:ascii="Cambria Math" w:eastAsia="华文楷体" w:hAnsi="Cambria Math"/>
                    <w:sz w:val="20"/>
                    <w:szCs w:val="20"/>
                  </w:rPr>
                  <m:t>log</m:t>
                </m:r>
              </m:e>
              <m:sub>
                <m:r>
                  <w:rPr>
                    <w:rFonts w:ascii="Cambria Math" w:eastAsia="华文楷体" w:hAnsi="Cambria Math"/>
                    <w:sz w:val="20"/>
                    <w:szCs w:val="20"/>
                  </w:rPr>
                  <m:t>2</m:t>
                </m:r>
              </m:sub>
            </m:sSub>
            <m:ctrlPr>
              <w:rPr>
                <w:rFonts w:ascii="Cambria Math" w:eastAsia="华文楷体" w:hAnsi="Cambria Math"/>
                <w:i/>
                <w:sz w:val="20"/>
                <w:szCs w:val="20"/>
              </w:rPr>
            </m:ctrlPr>
          </m:fName>
          <m:e>
            <m:r>
              <m:rPr>
                <m:sty m:val="p"/>
              </m:rPr>
              <w:rPr>
                <w:rFonts w:ascii="Cambria Math" w:eastAsia="华文楷体" w:hAnsi="Cambria Math"/>
                <w:sz w:val="20"/>
                <w:szCs w:val="20"/>
              </w:rPr>
              <m:t>⁡</m:t>
            </m:r>
            <m:r>
              <w:rPr>
                <w:rFonts w:ascii="Cambria Math" w:eastAsia="华文楷体" w:hAnsi="Cambria Math"/>
                <w:sz w:val="20"/>
                <w:szCs w:val="20"/>
              </w:rPr>
              <m:t>(</m:t>
            </m:r>
            <m:f>
              <m:fPr>
                <m:ctrlPr>
                  <w:rPr>
                    <w:rFonts w:ascii="Cambria Math" w:eastAsia="华文楷体" w:hAnsi="Cambria Math"/>
                    <w:i/>
                    <w:sz w:val="20"/>
                    <w:szCs w:val="20"/>
                  </w:rPr>
                </m:ctrlPr>
              </m:fPr>
              <m:num>
                <m:r>
                  <w:rPr>
                    <w:rFonts w:ascii="Cambria Math" w:eastAsia="华文楷体" w:hAnsi="Cambria Math"/>
                    <w:sz w:val="20"/>
                    <w:szCs w:val="20"/>
                  </w:rPr>
                  <m:t>M</m:t>
                </m:r>
              </m:num>
              <m:den>
                <m:r>
                  <w:rPr>
                    <w:rFonts w:ascii="Cambria Math" w:eastAsia="华文楷体" w:hAnsi="Cambria Math"/>
                    <w:sz w:val="20"/>
                    <w:szCs w:val="20"/>
                  </w:rPr>
                  <m:t>U</m:t>
                </m:r>
              </m:den>
            </m:f>
            <m:r>
              <w:rPr>
                <w:rFonts w:ascii="Cambria Math" w:eastAsia="华文楷体" w:hAnsi="Cambria Math"/>
                <w:sz w:val="20"/>
                <w:szCs w:val="20"/>
              </w:rPr>
              <m:t>)</m:t>
            </m:r>
            <m:ctrlPr>
              <w:rPr>
                <w:rFonts w:ascii="Cambria Math" w:eastAsia="华文楷体" w:hAnsi="Cambria Math"/>
                <w:i/>
                <w:sz w:val="20"/>
                <w:szCs w:val="20"/>
              </w:rPr>
            </m:ctrlPr>
          </m:e>
        </m:func>
      </m:oMath>
    </w:p>
    <w:p w14:paraId="47B32C96" w14:textId="77777777" w:rsidR="009A0738" w:rsidRPr="00B9510C" w:rsidRDefault="009A0738" w:rsidP="009A0738">
      <w:pPr>
        <w:pStyle w:val="NormalWeb"/>
        <w:rPr>
          <w:rFonts w:ascii="华文楷体" w:eastAsia="华文楷体" w:hAnsi="华文楷体"/>
        </w:rPr>
      </w:pPr>
      <w:r w:rsidRPr="00B9510C">
        <w:rPr>
          <w:rStyle w:val="Strong"/>
          <w:rFonts w:ascii="华文楷体" w:eastAsia="华文楷体" w:hAnsi="华文楷体"/>
          <w:u w:val="single"/>
        </w:rPr>
        <w:t>DMP</w:t>
      </w:r>
      <w:r w:rsidRPr="00B9510C">
        <w:rPr>
          <w:rFonts w:ascii="华文楷体" w:eastAsia="华文楷体" w:hAnsi="华文楷体"/>
        </w:rPr>
        <w:t xml:space="preserve">: Differentially methylated </w:t>
      </w:r>
      <w:r w:rsidRPr="00B9510C">
        <w:rPr>
          <w:rFonts w:ascii="华文楷体" w:eastAsia="华文楷体" w:hAnsi="华文楷体"/>
          <w:highlight w:val="magenta"/>
        </w:rPr>
        <w:t>position</w:t>
      </w:r>
      <w:r w:rsidRPr="00B9510C">
        <w:rPr>
          <w:rFonts w:ascii="华文楷体" w:eastAsia="华文楷体" w:hAnsi="华文楷体"/>
        </w:rPr>
        <w:t>: single genomic position that has a different methylated level in two different groups of samples (or conditions).</w:t>
      </w:r>
    </w:p>
    <w:p w14:paraId="3FC245C4" w14:textId="77777777" w:rsidR="009A0738" w:rsidRPr="00B9510C" w:rsidRDefault="009A0738" w:rsidP="009A0738">
      <w:pPr>
        <w:pStyle w:val="NormalWeb"/>
        <w:rPr>
          <w:rFonts w:ascii="华文楷体" w:eastAsia="华文楷体" w:hAnsi="华文楷体"/>
        </w:rPr>
      </w:pPr>
      <w:r w:rsidRPr="00B9510C">
        <w:rPr>
          <w:rStyle w:val="Strong"/>
          <w:rFonts w:ascii="华文楷体" w:eastAsia="华文楷体" w:hAnsi="华文楷体"/>
          <w:u w:val="single"/>
        </w:rPr>
        <w:t>DMR</w:t>
      </w:r>
      <w:r w:rsidRPr="00B9510C">
        <w:rPr>
          <w:rFonts w:ascii="华文楷体" w:eastAsia="华文楷体" w:hAnsi="华文楷体"/>
        </w:rPr>
        <w:t xml:space="preserve">: Differentially methylated </w:t>
      </w:r>
      <w:r w:rsidRPr="00B9510C">
        <w:rPr>
          <w:rFonts w:ascii="华文楷体" w:eastAsia="华文楷体" w:hAnsi="华文楷体"/>
          <w:highlight w:val="magenta"/>
        </w:rPr>
        <w:t>region</w:t>
      </w:r>
      <w:r w:rsidRPr="00B9510C">
        <w:rPr>
          <w:rFonts w:ascii="华文楷体" w:eastAsia="华文楷体" w:hAnsi="华文楷体"/>
        </w:rPr>
        <w:t>: when consecutive genomic locations are differentially methylated in the same direction.</w:t>
      </w:r>
    </w:p>
    <w:p w14:paraId="1AFB50CA" w14:textId="77777777" w:rsidR="009A0738" w:rsidRPr="00B9510C" w:rsidRDefault="009A0738" w:rsidP="009A0738">
      <w:pPr>
        <w:pStyle w:val="NormalWeb"/>
        <w:rPr>
          <w:rFonts w:ascii="华文楷体" w:eastAsia="华文楷体" w:hAnsi="华文楷体"/>
        </w:rPr>
      </w:pPr>
      <w:r w:rsidRPr="00B9510C">
        <w:rPr>
          <w:rStyle w:val="Strong"/>
          <w:rFonts w:ascii="华文楷体" w:eastAsia="华文楷体" w:hAnsi="华文楷体"/>
          <w:u w:val="single"/>
        </w:rPr>
        <w:t>Array</w:t>
      </w:r>
      <w:r w:rsidRPr="00B9510C">
        <w:rPr>
          <w:rFonts w:ascii="华文楷体" w:eastAsia="华文楷体" w:hAnsi="华文楷体"/>
        </w:rPr>
        <w:t>: One sample</w:t>
      </w:r>
      <w:r>
        <w:rPr>
          <w:rFonts w:ascii="华文楷体" w:eastAsia="华文楷体" w:hAnsi="华文楷体"/>
        </w:rPr>
        <w:t>.</w:t>
      </w:r>
    </w:p>
    <w:p w14:paraId="36570E08" w14:textId="77777777" w:rsidR="009A0738" w:rsidRPr="00B9510C" w:rsidRDefault="009A0738" w:rsidP="009A0738">
      <w:pPr>
        <w:pStyle w:val="NormalWeb"/>
        <w:rPr>
          <w:rFonts w:ascii="华文楷体" w:eastAsia="华文楷体" w:hAnsi="华文楷体"/>
        </w:rPr>
      </w:pPr>
      <w:r w:rsidRPr="00B9510C">
        <w:rPr>
          <w:rStyle w:val="Strong"/>
          <w:rFonts w:ascii="华文楷体" w:eastAsia="华文楷体" w:hAnsi="华文楷体"/>
          <w:u w:val="single"/>
        </w:rPr>
        <w:t>Slide</w:t>
      </w:r>
      <w:r w:rsidRPr="00B9510C">
        <w:rPr>
          <w:rFonts w:ascii="华文楷体" w:eastAsia="华文楷体" w:hAnsi="华文楷体"/>
        </w:rPr>
        <w:t>: Physical slide containing 12 arrays (</w:t>
      </w:r>
      <w:r w:rsidRPr="00B9510C">
        <w:rPr>
          <w:rStyle w:val="mn"/>
          <w:rFonts w:ascii="华文楷体" w:eastAsia="华文楷体" w:hAnsi="华文楷体" w:cs="STIXGeneral-Regular"/>
        </w:rPr>
        <w:t>6</w:t>
      </w:r>
      <w:r w:rsidRPr="00B9510C">
        <w:rPr>
          <w:rStyle w:val="mo"/>
          <w:rFonts w:ascii="华文楷体" w:eastAsia="华文楷体" w:hAnsi="华文楷体" w:cs="STIXGeneral-Regular"/>
        </w:rPr>
        <w:t>×</w:t>
      </w:r>
      <w:r w:rsidRPr="00B9510C">
        <w:rPr>
          <w:rStyle w:val="mn"/>
          <w:rFonts w:ascii="华文楷体" w:eastAsia="华文楷体" w:hAnsi="华文楷体" w:cs="STIXGeneral-Regular"/>
        </w:rPr>
        <w:t>2</w:t>
      </w:r>
      <w:r w:rsidRPr="00B9510C">
        <w:rPr>
          <w:rFonts w:ascii="华文楷体" w:eastAsia="华文楷体" w:hAnsi="华文楷体"/>
        </w:rPr>
        <w:t xml:space="preserve"> grid)</w:t>
      </w:r>
      <w:r>
        <w:rPr>
          <w:rFonts w:ascii="华文楷体" w:eastAsia="华文楷体" w:hAnsi="华文楷体"/>
        </w:rPr>
        <w:t>.</w:t>
      </w:r>
    </w:p>
    <w:p w14:paraId="44C208AC" w14:textId="4354A01D" w:rsidR="009A0738" w:rsidRPr="00B9510C" w:rsidRDefault="009A0738" w:rsidP="009A0738">
      <w:pPr>
        <w:pStyle w:val="NormalWeb"/>
        <w:rPr>
          <w:rFonts w:ascii="华文楷体" w:eastAsia="华文楷体" w:hAnsi="华文楷体"/>
          <w:lang w:eastAsia="zh-CN"/>
        </w:rPr>
      </w:pPr>
      <w:r w:rsidRPr="00B9510C">
        <w:rPr>
          <w:rStyle w:val="Strong"/>
          <w:rFonts w:ascii="华文楷体" w:eastAsia="华文楷体" w:hAnsi="华文楷体"/>
          <w:u w:val="single"/>
        </w:rPr>
        <w:t>Plate/batch</w:t>
      </w:r>
      <w:r w:rsidRPr="00B9510C">
        <w:rPr>
          <w:rStyle w:val="Strong"/>
          <w:rFonts w:ascii="华文楷体" w:eastAsia="华文楷体" w:hAnsi="华文楷体"/>
        </w:rPr>
        <w:t>:</w:t>
      </w:r>
      <w:r w:rsidRPr="00B9510C">
        <w:rPr>
          <w:rFonts w:ascii="华文楷体" w:eastAsia="华文楷体" w:hAnsi="华文楷体"/>
        </w:rPr>
        <w:t xml:space="preserve"> Physical plate containing at most 8 slides (96 arrays).</w:t>
      </w:r>
    </w:p>
    <w:p w14:paraId="62D37810" w14:textId="77777777" w:rsidR="009A0738" w:rsidRPr="00B9510C" w:rsidRDefault="009A0738" w:rsidP="009A0738">
      <w:pPr>
        <w:rPr>
          <w:rFonts w:ascii="Kaiti SC Regular" w:eastAsia="Kaiti SC Regular" w:hAnsi="Kaiti SC Regular"/>
          <w:sz w:val="20"/>
          <w:szCs w:val="20"/>
        </w:rPr>
      </w:pPr>
    </w:p>
    <w:p w14:paraId="65B1E5E3" w14:textId="77777777" w:rsidR="009A0738" w:rsidRPr="00B9510C" w:rsidRDefault="009A0738" w:rsidP="009A0738">
      <w:pPr>
        <w:rPr>
          <w:rFonts w:ascii="Kaiti SC Regular" w:eastAsia="Kaiti SC Regular" w:hAnsi="Kaiti SC Regular"/>
          <w:sz w:val="20"/>
          <w:szCs w:val="20"/>
        </w:rPr>
      </w:pPr>
      <w:r w:rsidRPr="00B9510C">
        <w:rPr>
          <w:rFonts w:ascii="Kaiti SC Regular" w:eastAsia="Kaiti SC Regular" w:hAnsi="Kaiti SC Regular" w:hint="eastAsia"/>
          <w:sz w:val="20"/>
          <w:szCs w:val="20"/>
        </w:rPr>
        <w:t>450K芯片两种probe的设计不同，</w:t>
      </w:r>
      <w:r>
        <w:rPr>
          <w:rFonts w:ascii="Kaiti SC Regular" w:eastAsia="Kaiti SC Regular" w:hAnsi="Kaiti SC Regular" w:hint="eastAsia"/>
          <w:sz w:val="20"/>
          <w:szCs w:val="20"/>
        </w:rPr>
        <w:t>在</w:t>
      </w:r>
      <w:r w:rsidRPr="00B9510C">
        <w:rPr>
          <w:rFonts w:ascii="Kaiti SC Regular" w:eastAsia="Kaiti SC Regular" w:hAnsi="Kaiti SC Regular" w:hint="eastAsia"/>
          <w:sz w:val="20"/>
          <w:szCs w:val="20"/>
        </w:rPr>
        <w:t>第三方评估中，450K的两种probe都有系统误差</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{"citationItems":[{"id":"ITEM-1","itemData":{"DOI":"10.2217/epi.11.105","ISBN":"1750-192X (Electronic)\\n1750-192X (Linking)","ISSN":"17501911","PMID":"22126295","abstract":"Studies of DNA methylomes hold enormous promise for biomedicine but are hampered by the technological challenges of analyzing many samples cost-effectively. Recently, a major extension of the previous Infinium HumanMethylation27 BeadChip® (Illumina, Inc. CA, USA), called Infinium HumanMethylation450 (Infinium Methylation 450K; Illumina, Inc. CA, USA) was developed. This upgraded technology is a hybrid of two different chemical assays, the Infinium I and Infinium II assays, allowing (for 12 samples in parallel) assessment of the methylation status of more than 480,000 cytosines distributed over the whole genome. In this article, we evaluate Infinium Methylation 450K on cell lines and tissue samples, highlighting some of its advantages but also some of its limitations. In particular, we compare the methylation values of the Infinium I and Infinium II assays.","author":[{"dropping-particle":"","family":"Dedeurwaerder","given":"Sarah","non-dropping-particle":"","parse-names":false,"suffix":""},{"dropping-particle":"","family":"Defrance","given":"Matthieu","non-dropping-particle":"","parse-names":false,"suffix":""},{"dropping-particle":"","family":"Calonne","given":"Emilie","non-dropping-particle":"","parse-names":false,"suffix":""},{"dropping-particle":"","family":"Denis","given":"Hélène","non-dropping-particle":"","parse-names":false,"suffix":""},{"dropping-particle":"","family":"Sotiriou","given":"Christos","non-dropping-particle":"","parse-names":false,"suffix":""},{"dropping-particle":"","family":"Fuks","given":"François","non-dropping-particle":"","parse-names":false,"suffix":""}],"container-title":"Epigenomics","id":"ITEM-1","issue":"6","issued":{"date-parts":[["2011"]]},"page":"771-784","title":"Evaluation of the Infinium Methylation 450K technology","type":"article-journal","volume":"3"},"uris":["http://www.mendeley.com/documents/?uuid=0d5797e1-cfeb-44e2-a0c2-2a14d1c561f2"]}],"mendeley":{"formattedCitation":"(Dedeurwaerder &lt;i&gt;et al.&lt;/i&gt; 2011)","plainTextFormattedCitation":"(Dedeurwaerder et al. 2011)","previouslyFormattedCitation":"(Dedeurwaerder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(Dedeurwaerder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sz w:val="20"/>
          <w:szCs w:val="20"/>
        </w:rPr>
        <w:t xml:space="preserve"> </w:t>
      </w:r>
      <w:r w:rsidRPr="00B9510C">
        <w:rPr>
          <w:rFonts w:ascii="Kaiti SC Regular" w:eastAsia="Kaiti SC Regular" w:hAnsi="Kaiti SC Regular"/>
          <w:sz w:val="20"/>
          <w:szCs w:val="20"/>
          <w:highlight w:val="yellow"/>
        </w:rPr>
        <w:t>[GSE:42409; GSE:40279]</w:t>
      </w:r>
      <w:r w:rsidRPr="00B9510C">
        <w:rPr>
          <w:rFonts w:ascii="Kaiti SC Regular" w:eastAsia="Kaiti SC Regular" w:hAnsi="Kaiti SC Regular" w:hint="eastAsia"/>
          <w:sz w:val="20"/>
          <w:szCs w:val="20"/>
        </w:rPr>
        <w:t>。</w:t>
      </w:r>
    </w:p>
    <w:p w14:paraId="72182A7D" w14:textId="74CD1AC4" w:rsidR="009A0738" w:rsidRDefault="009A0738" w:rsidP="009A0738">
      <w:pPr>
        <w:rPr>
          <w:rFonts w:ascii="Kaiti SC Regular" w:eastAsia="Kaiti SC Regular" w:hAnsi="Kaiti SC Regular"/>
        </w:rPr>
      </w:pPr>
      <w:r w:rsidRPr="00B9510C">
        <w:rPr>
          <w:rFonts w:ascii="Kaiti SC Regular" w:eastAsia="Kaiti SC Regular" w:hAnsi="Kaiti SC Regular"/>
          <w:sz w:val="20"/>
          <w:szCs w:val="20"/>
          <w:highlight w:val="cyan"/>
        </w:rPr>
        <w:t xml:space="preserve">1) </w:t>
      </w:r>
      <w:r w:rsidRPr="00B9510C">
        <w:rPr>
          <w:rFonts w:ascii="Kaiti SC Regular" w:eastAsia="Kaiti SC Regular" w:hAnsi="Kaiti SC Regular" w:hint="eastAsia"/>
          <w:sz w:val="20"/>
          <w:szCs w:val="20"/>
          <w:highlight w:val="cyan"/>
        </w:rPr>
        <w:t>表现为</w:t>
      </w:r>
      <w:proofErr w:type="spellStart"/>
      <w:r w:rsidRPr="00B9510C">
        <w:rPr>
          <w:rFonts w:ascii="Kaiti SC Regular" w:eastAsia="Kaiti SC Regular" w:hAnsi="Kaiti SC Regular" w:hint="eastAsia"/>
          <w:sz w:val="20"/>
          <w:szCs w:val="20"/>
          <w:highlight w:val="cyan"/>
        </w:rPr>
        <w:t>CpG</w:t>
      </w:r>
      <w:proofErr w:type="spellEnd"/>
      <w:r w:rsidRPr="00B9510C">
        <w:rPr>
          <w:rFonts w:ascii="Kaiti SC Regular" w:eastAsia="Kaiti SC Regular" w:hAnsi="Kaiti SC Regular" w:hint="eastAsia"/>
          <w:sz w:val="20"/>
          <w:szCs w:val="20"/>
          <w:highlight w:val="cyan"/>
        </w:rPr>
        <w:t>位点的probe杂交并不专一</w:t>
      </w:r>
      <w:r w:rsidRPr="00B9510C">
        <w:rPr>
          <w:rFonts w:ascii="Kaiti SC Regular" w:eastAsia="Kaiti SC Regular" w:hAnsi="Kaiti SC Regular" w:hint="eastAsia"/>
          <w:sz w:val="20"/>
          <w:szCs w:val="20"/>
        </w:rPr>
        <w:t>。</w:t>
      </w:r>
      <w:proofErr w:type="spellStart"/>
      <w:r w:rsidRPr="00B9510C">
        <w:rPr>
          <w:rFonts w:ascii="Kaiti SC Regular" w:eastAsia="Kaiti SC Regular" w:hAnsi="Kaiti SC Regular" w:hint="eastAsia"/>
          <w:sz w:val="20"/>
          <w:szCs w:val="20"/>
        </w:rPr>
        <w:t>CpG</w:t>
      </w:r>
      <w:proofErr w:type="spellEnd"/>
      <w:r w:rsidRPr="00B9510C">
        <w:rPr>
          <w:rFonts w:ascii="Kaiti SC Regular" w:eastAsia="Kaiti SC Regular" w:hAnsi="Kaiti SC Regular" w:hint="eastAsia"/>
          <w:sz w:val="20"/>
          <w:szCs w:val="20"/>
        </w:rPr>
        <w:t>的probe可以杂交到多个位点，从而测量不准确；从而导致</w:t>
      </w:r>
      <w:proofErr w:type="spellStart"/>
      <w:r w:rsidRPr="00B9510C">
        <w:rPr>
          <w:rFonts w:ascii="Kaiti SC Regular" w:eastAsia="Kaiti SC Regular" w:hAnsi="Kaiti SC Regular" w:hint="eastAsia"/>
          <w:sz w:val="20"/>
          <w:szCs w:val="20"/>
        </w:rPr>
        <w:t>CpG</w:t>
      </w:r>
      <w:proofErr w:type="spellEnd"/>
      <w:r w:rsidRPr="00B9510C">
        <w:rPr>
          <w:rFonts w:ascii="Kaiti SC Regular" w:eastAsia="Kaiti SC Regular" w:hAnsi="Kaiti SC Regular" w:hint="eastAsia"/>
          <w:sz w:val="20"/>
          <w:szCs w:val="20"/>
        </w:rPr>
        <w:t>的enrichment分析出现误差。这个问题在27K芯片中也有，当时是常染色体与性染色体的probe出现问题</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{"citationItems":[{"id":"ITEM-1","itemData":{"DOI":"10.1016/j.ygeno.2010.12.004","ISBN":"1089-8646 (Electronic)\\r0888-7543 (Linking)","ISSN":"08887543","PMID":"21211562","abstract":"The Illumina Infinium HumanMethylation27 BeadChip (Illumina 27k) microarray is a high-throughput platform capable of interrogating the human DNA methylome. In a search for autosomal sex-specific DNA methylation using this microarray, we discovered autosomal CpG loci showing significant methylation differences between the sexes. However, we found that the majority of these probes cross-reacted with sequences from sex chromosomes. Moreover, we determined that 6-10% of the microarray probes are non-specific and map to highly homologous genomic sequences. Using probes targeting different CpGs that are exact duplicates of each other, we investigated the precision of these repeat measurements and concluded that the overall precision of this microarray is excellent. In addition, we identified a small number of probes targeting CpGs that include single-nucleotide polymorphisms. Overall, our findings address several technical issues associated with the Illumina 27k microarray that, once considered, will enhance the analysis and interpretation of data generated from this platform. © 2010 Elsevier Inc.","author":[{"dropping-particle":"","family":"Chen","given":"Yi-an","non-dropping-particle":"","parse-names":false,"suffix":""},{"dropping-particle":"","family":"Choufani","given":"Sanaa","non-dropping-particle":"","parse-names":false,"suffix":""},{"dropping-particle":"","family":"Ferreira","given":"Jose Carlos","non-dropping-particle":"","parse-names":false,"suffix":""},{"dropping-particle":"","family":"Grafodatskaya","given":"Daria","non-dropping-particle":"","parse-names":false,"suffix":""},{"dropping-particle":"","family":"Butcher","given":"Darci T.","non-dropping-particle":"","parse-names":false,"suffix":""},{"dropping-particle":"","family":"Weksberg","given":"Rosanna","non-dropping-particle":"","parse-names":false,"suffix":""}],"container-title":"Genomics","id":"ITEM-1","issue":"4","issued":{"date-parts":[["2011"]]},"page":"214-222","publisher":"Elsevier Inc.","title":"Sequence overlap between autosomal and sex-linked probes on the Illumina HumanMethylation27 microarray","type":"article-journal","volume":"97"},"uris":["http://www.mendeley.com/documents/?uuid=adcbe550-1f40-4687-9faa-19cce59094cb"]}],"mendeley":{"formattedCitation":"(Chen &lt;i&gt;et al.&lt;/i&gt; 2011)","plainTextFormattedCitation":"(Chen et al. 2011)","previouslyFormattedCitation":"(Chen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(Chen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。Homologous基因家族, duplicated基因和重复的原件都有可能是诱因。可以通过BLAT</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{"citationItems":[{"id":"ITEM-1","itemData":{"DOI":"10.1101/gr.229202.","ISSN":"1088-9051","abstract":"Analyzing vertebrate genomes requires rapid mRNA/DNA and cross-species protein alignments. A new tool, BLAT, is more accurate and 500 times faster than popular existing tools for mRNA/DNA alignments and 50 times faster for protein alignments at sensitivity settings typically used when comparing vertebrate sequences. BLAT’s speed stems from an index of all nonoverlapping K-mers in the genome. This index fits inside the RAM of inexpensive computers, and need only be computed once for each genome assembly. BLAT has several major stages. It uses the index to find regions in the genome likely to be homologous to the query sequence. It performs an alignment between homologous regions. It stitches together these aligned regions (often exons) into larger alignments (typically genes). Finally, BLAT revisits small internal exons possibly missed at the first stage and adjusts large gap boundaries that have canonical splice sites where feasible. This paper describes how BLAT was optimized. Effects on speed and sensitivity are explored for various K-mer sizes, mismatch schemes, and number of required index matches. BLAT is compared with other alignment programs on various test sets and then used in several genome-wide applications. http://genome.ucsc.edu hosts a web-based BLAT server for the human genome. Some","author":[{"dropping-particle":"","family":"Kent","given":"W James","non-dropping-particle":"","parse-names":false,"suffix":""}],"container-title":"Genome Research","id":"ITEM-1","issued":{"date-parts":[["2002"]]},"page":"656-664","title":"BLAT — The BLAST-Like Alignment Tool","type":"article-journal","volume":"12"},"uris":["http://www.mendeley.com/documents/?uuid=280eb37f-78e4-4280-9d0e-d9a78ddec9fe"]}],"mendeley":{"formattedCitation":"(Kent 2002)","plainTextFormattedCitation":"(Kent 2002)","previouslyFormattedCitation":"(Kent 2002)"},"properties":{"noteIndex":0},"schema":"https://github.com/citation-style-language/schema/raw/master/csl-citation.json"}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(Kent 2002)</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查找多重匹配的probe，而且要兼顾“</w:t>
      </w:r>
      <w:r w:rsidRPr="00B9510C">
        <w:rPr>
          <w:rFonts w:ascii="Kaiti SC Regular" w:eastAsia="Kaiti SC Regular" w:hAnsi="Kaiti SC Regular"/>
          <w:sz w:val="20"/>
          <w:szCs w:val="20"/>
          <w:highlight w:val="magenta"/>
        </w:rPr>
        <w:t xml:space="preserve">Therefore, in order to identify cross-reactive sequences for both types of probe sequences, we need to perform BLAT on both strands of </w:t>
      </w:r>
      <w:proofErr w:type="spellStart"/>
      <w:r w:rsidRPr="00B9510C">
        <w:rPr>
          <w:rFonts w:ascii="Kaiti SC Regular" w:eastAsia="Kaiti SC Regular" w:hAnsi="Kaiti SC Regular"/>
          <w:sz w:val="20"/>
          <w:szCs w:val="20"/>
          <w:highlight w:val="magenta"/>
        </w:rPr>
        <w:t>unmethylated</w:t>
      </w:r>
      <w:proofErr w:type="spellEnd"/>
      <w:r w:rsidRPr="00B9510C">
        <w:rPr>
          <w:rFonts w:ascii="Kaiti SC Regular" w:eastAsia="Kaiti SC Regular" w:hAnsi="Kaiti SC Regular"/>
          <w:sz w:val="20"/>
          <w:szCs w:val="20"/>
          <w:highlight w:val="magenta"/>
        </w:rPr>
        <w:t xml:space="preserve"> and methylated genomes (total of4 genomes)</w:t>
      </w:r>
      <w:r w:rsidRPr="00B9510C">
        <w:rPr>
          <w:rFonts w:ascii="Kaiti SC Regular" w:eastAsia="Kaiti SC Regular" w:hAnsi="Kaiti SC Regular" w:hint="eastAsia"/>
          <w:sz w:val="20"/>
          <w:szCs w:val="20"/>
        </w:rPr>
        <w:t>”</w:t>
      </w:r>
      <w:r w:rsidRPr="00B9510C">
        <w:rPr>
          <w:rFonts w:ascii="Kaiti SC Regular" w:eastAsia="Kaiti SC Regular" w:hAnsi="Kaiti SC Regular"/>
          <w:sz w:val="20"/>
          <w:szCs w:val="20"/>
        </w:rPr>
        <w:fldChar w:fldCharType="begin" w:fldLock="1"/>
      </w:r>
      <w:r w:rsidRPr="00B9510C">
        <w:rPr>
          <w:rFonts w:ascii="Kaiti SC Regular" w:eastAsia="Kaiti SC Regular" w:hAnsi="Kaiti SC Regular"/>
          <w:sz w:val="20"/>
          <w:szCs w:val="20"/>
        </w:rPr>
        <w:instrText>ADDIN CSL_CITATION {"citationItems":[{"id":"ITEM-1","itemData":{"DOI":"10.1016/j.ygeno.2010.12.004","ISBN":"1089-8646 (Electronic)\\r0888-7543 (Linking)","ISSN":"08887543","PMID":"21211562","abstract":"The Illumina Infinium HumanMethylation27 BeadChip (Illumina 27k) microarray is a high-throughput platform capable of interrogating the human DNA methylome. In a search for autosomal sex-specific DNA methylation using this microarray, we discovered autosomal CpG loci showing significant methylation differences between the sexes. However, we found that the majority of these probes cross-reacted with sequences from sex chromosomes. Moreover, we determined that 6-10% of the microarray probes are non-specific and map to highly homologous genomic sequences. Using probes targeting different CpGs that are exact duplicates of each other, we investigated the precision of these repeat measurements and concluded that the overall precision of this microarray is excellent. In addition, we identified a small number of probes targeting CpGs that include single-nucleotide polymorphisms. Overall, our findings address several technical issues associated with the Illumina 27k microarray that, once considered, will enhance the analysis and interpretation of data generated from this platform. © 2010 Elsevier Inc.","author":[{"dropping-particle":"","family":"Chen","given":"Yi-an","non-dropping-particle":"","parse-names":false,"suffix":""},{"dropping-particle":"","family":"Choufani","given":"Sanaa","non-dropping-particle":"","parse-names":false,"suffix":""},{"dropping-particle":"","family":"Ferreira","given":"Jose Carlos","non-dropping-particle":"","parse-names":false,"suffix":""},{"dropping-particle":"","family":"Grafodatskaya","given":"Daria","non-dropping-particle":"","parse-names":false,"suffix":""},{"dropping-particle":"","family":"Butcher","given":"Darci T.","non-dropping-particle":"","parse-names":false,"suffix":""},{"dropping-particle":"","family":"Weksberg","given":"Rosanna","non-dropping-particle":"","parse-names":false,"suffix":""}],"container-title":"Genomics","id":"ITEM-1","issue":"4","issued":{"date-parts":[["2011"]]},"page":"214-222","publisher":"Elsevier Inc.","title":"Sequence overlap between autosomal and sex-linked probes on the Illumina HumanMethylation27 microarray","type":"article-journal","volume":"97"},"uris":["http://www.mendeley.com/documents/?uuid=adcbe550-1f40-4687-9faa-19cce59094cb"]}],"mendeley":{"formattedCitation":"(Chen &lt;i&gt;et al.&lt;/i&gt; 2011)","plainTextFormattedCitation":"(Chen et al. 2011)","previouslyFormattedCitation":"(Chen &lt;i&gt;et al.&lt;/i&gt; 2011)"},"properties":{"noteIndex":0},"schema":"https://github.com/citation-style-language/schema/raw/master/csl-citation.json"}</w:instrText>
      </w:r>
      <w:r w:rsidRPr="00B9510C">
        <w:rPr>
          <w:rFonts w:ascii="Kaiti SC Regular" w:eastAsia="Kaiti SC Regular" w:hAnsi="Kaiti SC Regular"/>
          <w:sz w:val="20"/>
          <w:szCs w:val="20"/>
        </w:rPr>
        <w:fldChar w:fldCharType="separate"/>
      </w:r>
      <w:r w:rsidRPr="00B9510C">
        <w:rPr>
          <w:rFonts w:ascii="Kaiti SC Regular" w:eastAsia="Kaiti SC Regular" w:hAnsi="Kaiti SC Regular"/>
          <w:noProof/>
          <w:sz w:val="20"/>
          <w:szCs w:val="20"/>
        </w:rPr>
        <w:t xml:space="preserve">(Chen </w:t>
      </w:r>
      <w:r w:rsidRPr="00B9510C">
        <w:rPr>
          <w:rFonts w:ascii="Kaiti SC Regular" w:eastAsia="Kaiti SC Regular" w:hAnsi="Kaiti SC Regular"/>
          <w:i/>
          <w:noProof/>
          <w:sz w:val="20"/>
          <w:szCs w:val="20"/>
        </w:rPr>
        <w:t>et al.</w:t>
      </w:r>
      <w:r w:rsidRPr="00B9510C">
        <w:rPr>
          <w:rFonts w:ascii="Kaiti SC Regular" w:eastAsia="Kaiti SC Regular" w:hAnsi="Kaiti SC Regular"/>
          <w:noProof/>
          <w:sz w:val="20"/>
          <w:szCs w:val="20"/>
        </w:rPr>
        <w:t xml:space="preserve"> 2011)</w:t>
      </w:r>
      <w:r w:rsidRPr="00B9510C">
        <w:rPr>
          <w:rFonts w:ascii="Kaiti SC Regular" w:eastAsia="Kaiti SC Regular" w:hAnsi="Kaiti SC Regular"/>
          <w:sz w:val="20"/>
          <w:szCs w:val="20"/>
        </w:rPr>
        <w:fldChar w:fldCharType="end"/>
      </w:r>
      <w:r w:rsidRPr="00B9510C">
        <w:rPr>
          <w:rFonts w:ascii="Kaiti SC Regular" w:eastAsia="Kaiti SC Regular" w:hAnsi="Kaiti SC Regular" w:hint="eastAsia"/>
          <w:sz w:val="20"/>
          <w:szCs w:val="20"/>
        </w:rPr>
        <w:t>。</w:t>
      </w:r>
    </w:p>
    <w:p w14:paraId="10855934" w14:textId="77777777" w:rsidR="009A0738" w:rsidRPr="002A377E" w:rsidRDefault="009A0738" w:rsidP="00371BD7">
      <w:pPr>
        <w:rPr>
          <w:rFonts w:ascii="Kaiti SC Regular" w:eastAsia="Kaiti SC Regular" w:hAnsi="Kaiti SC Regular"/>
        </w:rPr>
      </w:pPr>
    </w:p>
    <w:p w14:paraId="41B5CCB4" w14:textId="77777777" w:rsidR="002A377E" w:rsidRPr="002A377E" w:rsidRDefault="002A377E" w:rsidP="00371BD7">
      <w:pPr>
        <w:rPr>
          <w:rFonts w:ascii="Kaiti SC Regular" w:eastAsia="Kaiti SC Regular" w:hAnsi="Kaiti SC Regular"/>
        </w:rPr>
      </w:pPr>
    </w:p>
    <w:p w14:paraId="19945FD1" w14:textId="06221064" w:rsidR="00371BD7" w:rsidRPr="002A377E" w:rsidRDefault="00371BD7" w:rsidP="00371BD7">
      <w:pPr>
        <w:rPr>
          <w:rFonts w:ascii="Kaiti SC Regular" w:eastAsia="Kaiti SC Regular" w:hAnsi="Kaiti SC Regular"/>
        </w:rPr>
      </w:pPr>
      <w:r w:rsidRPr="002A377E">
        <w:rPr>
          <w:rFonts w:ascii="Kaiti SC Regular" w:eastAsia="Kaiti SC Regular" w:hAnsi="Kaiti SC Regular" w:hint="eastAsia"/>
        </w:rPr>
        <w:t>问:</w:t>
      </w:r>
      <w:r w:rsidR="001752C4" w:rsidRPr="002A377E">
        <w:rPr>
          <w:rFonts w:ascii="Kaiti SC Regular" w:eastAsia="Kaiti SC Regular" w:hAnsi="Kaiti SC Regular"/>
        </w:rPr>
        <w:t xml:space="preserve"> </w:t>
      </w:r>
      <w:r w:rsidR="001752C4" w:rsidRPr="002A377E">
        <w:rPr>
          <w:rFonts w:ascii="Kaiti SC Regular" w:eastAsia="Kaiti SC Regular" w:hAnsi="Kaiti SC Regular" w:hint="eastAsia"/>
        </w:rPr>
        <w:t>甲基化与疾病的研究进展</w:t>
      </w:r>
    </w:p>
    <w:p w14:paraId="208F494F" w14:textId="77777777" w:rsidR="00156FAF" w:rsidRDefault="001752C4" w:rsidP="00371BD7">
      <w:pPr>
        <w:rPr>
          <w:rFonts w:ascii="Kaiti SC Regular" w:eastAsia="Kaiti SC Regular" w:hAnsi="Kaiti SC Regular"/>
          <w:sz w:val="20"/>
          <w:szCs w:val="20"/>
        </w:rPr>
      </w:pPr>
      <w:r w:rsidRPr="009A0738">
        <w:rPr>
          <w:rFonts w:ascii="Kaiti SC Regular" w:eastAsia="Kaiti SC Regular" w:hAnsi="Kaiti SC Regular" w:hint="eastAsia"/>
          <w:sz w:val="20"/>
          <w:szCs w:val="20"/>
        </w:rPr>
        <w:lastRenderedPageBreak/>
        <w:t>答：甲基化最突出的研究成果，是Steve Horvath发表的基于353个</w:t>
      </w:r>
      <w:proofErr w:type="spellStart"/>
      <w:r w:rsidRPr="009A0738">
        <w:rPr>
          <w:rFonts w:ascii="Kaiti SC Regular" w:eastAsia="Kaiti SC Regular" w:hAnsi="Kaiti SC Regular" w:hint="eastAsia"/>
          <w:sz w:val="20"/>
          <w:szCs w:val="20"/>
        </w:rPr>
        <w:t>CpG</w:t>
      </w:r>
      <w:proofErr w:type="spellEnd"/>
      <w:r w:rsidRPr="009A0738">
        <w:rPr>
          <w:rFonts w:ascii="Kaiti SC Regular" w:eastAsia="Kaiti SC Regular" w:hAnsi="Kaiti SC Regular" w:hint="eastAsia"/>
          <w:sz w:val="20"/>
          <w:szCs w:val="20"/>
        </w:rPr>
        <w:t>甲基化可以广泛预测人体的“内生”年龄</w:t>
      </w:r>
      <w:r w:rsidRPr="009A0738">
        <w:rPr>
          <w:rFonts w:ascii="Kaiti SC Regular" w:eastAsia="Kaiti SC Regular" w:hAnsi="Kaiti SC Regular"/>
          <w:sz w:val="20"/>
          <w:szCs w:val="20"/>
        </w:rPr>
        <w:fldChar w:fldCharType="begin" w:fldLock="1"/>
      </w:r>
      <w:r w:rsidRPr="009A0738">
        <w:rPr>
          <w:rFonts w:ascii="Kaiti SC Regular" w:eastAsia="Kaiti SC Regular" w:hAnsi="Kaiti SC Regular"/>
          <w:sz w:val="20"/>
          <w:szCs w:val="20"/>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types","type":"article-journal","volume":"14"},"uris":["http://www.mendeley.com/documents/?uuid=6fde73a9-5004-4621-ae2d-3053daf52253"]}],"mendeley":{"formattedCitation":"(Horvath 2013)","plainTextFormattedCitation":"(Horvath 2013)","previouslyFormattedCitation":"(Horvath 2013)"},"properties":{"noteIndex":0},"schema":"https://github.com/citation-style-language/schema/raw/master/csl-citation.json"}</w:instrText>
      </w:r>
      <w:r w:rsidRPr="009A0738">
        <w:rPr>
          <w:rFonts w:ascii="Kaiti SC Regular" w:eastAsia="Kaiti SC Regular" w:hAnsi="Kaiti SC Regular"/>
          <w:sz w:val="20"/>
          <w:szCs w:val="20"/>
        </w:rPr>
        <w:fldChar w:fldCharType="separate"/>
      </w:r>
      <w:r w:rsidRPr="009A0738">
        <w:rPr>
          <w:rFonts w:ascii="Kaiti SC Regular" w:eastAsia="Kaiti SC Regular" w:hAnsi="Kaiti SC Regular"/>
          <w:noProof/>
          <w:sz w:val="20"/>
          <w:szCs w:val="20"/>
        </w:rPr>
        <w:t>(Horvath 2013)</w:t>
      </w:r>
      <w:r w:rsidRPr="009A0738">
        <w:rPr>
          <w:rFonts w:ascii="Kaiti SC Regular" w:eastAsia="Kaiti SC Regular" w:hAnsi="Kaiti SC Regular"/>
          <w:sz w:val="20"/>
          <w:szCs w:val="20"/>
        </w:rPr>
        <w:fldChar w:fldCharType="end"/>
      </w:r>
      <w:r w:rsidRPr="009A0738">
        <w:rPr>
          <w:rFonts w:ascii="Kaiti SC Regular" w:eastAsia="Kaiti SC Regular" w:hAnsi="Kaiti SC Regular" w:hint="eastAsia"/>
          <w:sz w:val="20"/>
          <w:szCs w:val="20"/>
        </w:rPr>
        <w:t>，而且与个体的实际年龄相关度极高，Pearson</w:t>
      </w:r>
      <w:r w:rsidRPr="009A0738">
        <w:rPr>
          <w:rFonts w:ascii="Kaiti SC Regular" w:eastAsia="Kaiti SC Regular" w:hAnsi="Kaiti SC Regular"/>
          <w:sz w:val="20"/>
          <w:szCs w:val="20"/>
        </w:rPr>
        <w:t>’</w:t>
      </w:r>
      <w:r w:rsidRPr="009A0738">
        <w:rPr>
          <w:rFonts w:ascii="Kaiti SC Regular" w:eastAsia="Kaiti SC Regular" w:hAnsi="Kaiti SC Regular" w:hint="eastAsia"/>
          <w:sz w:val="20"/>
          <w:szCs w:val="20"/>
        </w:rPr>
        <w:t>s correlation达到95%以上。而且，这组预测标记是在跨器官、跨种族的研究中都得到了比较好的验证，就很强的广谱性</w:t>
      </w:r>
      <w:r w:rsidRPr="009A0738">
        <w:rPr>
          <w:rFonts w:ascii="Kaiti SC Regular" w:eastAsia="Kaiti SC Regular" w:hAnsi="Kaiti SC Regular"/>
          <w:sz w:val="20"/>
          <w:szCs w:val="20"/>
        </w:rPr>
        <w:fldChar w:fldCharType="begin" w:fldLock="1"/>
      </w:r>
      <w:r w:rsidR="002A377E" w:rsidRPr="009A0738">
        <w:rPr>
          <w:rFonts w:ascii="Kaiti SC Regular" w:eastAsia="Kaiti SC Regular" w:hAnsi="Kaiti SC Regular"/>
          <w:sz w:val="20"/>
          <w:szCs w:val="20"/>
        </w:rPr>
        <w:instrText>ADDIN CSL_CITATION {"citationItems":[{"id":"ITEM-1","itemData":{"DOI":"10.1186/s13059-016-1030-0","ISBN":"1474-7596","ISSN":"1474760X","PMID":"27511193","abstract":"Epigenetic biomarkers of aging (the “epigenetic clock”) have the potential to address puzzling findings surrounding mortality rates and incidence of cardio-metabolic disease such as: (1) women consistently exhibiting lower mortality than men despite having higher levels of morbidity; (2) racial/ethnic groups having different mortality rates even after adjusting for socioeconomic differences; (3) the black/white mortality cross-over effect in late adulthood; and (4) Hispanics in the United States having a longer life expectancy than Caucasians despite having a higher burden of traditional cardio-metabolic risk factors. We analyzed blood, saliva, and brain samples from seven different racial/ethnic groups. We assessed the intrinsic epigenetic age acceleration of blood (independent of blood cell counts) and the extrinsic epigenetic aging rates of blood (dependent on blood cell counts and tracks the age of the immune system). In blood, Hispanics and Tsimane Amerindians have lower intrinsic but higher extrinsic epigenetic aging rates than Caucasians. African-Americans have lower extrinsic epigenetic aging rates than Caucasians and Hispanics but no differences were found for the intrinsic measure. Men have higher epigenetic aging rates than women in blood, saliva, and brain tissue. Epigenetic aging rates are significantly associated with sex, race/ethnicity, and to a lesser extent with CHD risk factors, but not with incident CHD outcomes. These results may help elucidate lower than expected mortality rates observed in Hispanics, older African-Americans, and women.","author":[{"dropping-particle":"","family":"Horvath","given":"Steve","non-dropping-particle":"","parse-names":false,"suffix":""},{"dropping-particle":"","family":"Gurven","given":"Michael","non-dropping-particle":"","parse-names":false,"suffix":""},{"dropping-particle":"","family":"Levine","given":"Morgan E.","non-dropping-particle":"","parse-names":false,"suffix":""},{"dropping-particle":"","family":"Trumble","given":"Benjamin C.","non-dropping-particle":"","parse-names":false,"suffix":""},{"dropping-particle":"","family":"Kaplan","given":"Hillard","non-dropping-particle":"","parse-names":false,"suffix":""},{"dropping-particle":"","family":"Allayee","given":"Hooman","non-dropping-particle":"","parse-names":false,"suffix":""},{"dropping-particle":"","family":"Ritz","given":"Beate R.","non-dropping-particle":"","parse-names":false,"suffix":""},{"dropping-particle":"","family":"Chen","given":"Brian","non-dropping-particle":"","parse-names":false,"suffix":""},{"dropping-particle":"","family":"Lu","given":"Ake T.","non-dropping-particle":"","parse-names":false,"suffix":""},{"dropping-particle":"","family":"Rickabaugh","given":"Tammy M.","non-dropping-particle":"","parse-names":false,"suffix":""},{"dropping-particle":"","family":"Jamieson","given":"Beth D.","non-dropping-particle":"","parse-names":false,"suffix":""},{"dropping-particle":"","family":"Sun","given":"Dianjianyi","non-dropping-particle":"","parse-names":false,"suffix":""},{"dropping-particle":"","family":"Li","given":"Shengxu","non-dropping-particle":"","parse-names":false,"suffix":""},{"dropping-particle":"","family":"Chen","given":"Wei","non-dropping-particle":"","parse-names":false,"suffix":""},{"dropping-particle":"","family":"Quintana-Murci","given":"Lluis","non-dropping-particle":"","parse-names":false,"suffix":""},{"dropping-particle":"","family":"Fagny","given":"Maud","non-dropping-particle":"","parse-names":false,"suffix":""},{"dropping-particle":"","family":"Kobor","given":"Michael S.","non-dropping-particle":"","parse-names":false,"suffix":""},{"dropping-particle":"","family":"Tsao","given":"Philip S.","non-dropping-particle":"","parse-names":false,"suffix":""},{"dropping-particle":"","family":"Reiner","given":"Alexander P.","non-dropping-particle":"","parse-names":false,"suffix":""},{"dropping-particle":"","family":"Edlefsen","given":"Kerstin L.","non-dropping-particle":"","parse-names":false,"suffix":""},{"dropping-particle":"","family":"Absher","given":"Devin","non-dropping-particle":"","parse-names":false,"suffix":""},{"dropping-particle":"","family":"Assimes","given":"Themistocles L.","non-dropping-particle":"","parse-names":false,"suffix":""}],"container-title":"Genome Biology","id":"ITEM-1","issue":"1","issued":{"date-parts":[["2016"]]},"page":"0-22","publisher":"Genome Biology","title":"An epigenetic clock analysis of race/ethnicity, sex, and coronary heart disease","type":"article-journal","volume":"17"},"uris":["http://www.mendeley.com/documents/?uuid=7ec45a50-b46f-4908-8e64-af2073746606"]}],"mendeley":{"formattedCitation":"(Horvath &lt;i&gt;et al.&lt;/i&gt; 2016)","plainTextFormattedCitation":"(Horvath et al. 2016)","previouslyFormattedCitation":"(Horvath &lt;i&gt;et al.&lt;/i&gt; 2016)"},"properties":{"noteIndex":0},"schema":"https://github.com/citation-style-language/schema/raw/master/csl-citation.json"}</w:instrText>
      </w:r>
      <w:r w:rsidRPr="009A0738">
        <w:rPr>
          <w:rFonts w:ascii="Kaiti SC Regular" w:eastAsia="Kaiti SC Regular" w:hAnsi="Kaiti SC Regular"/>
          <w:sz w:val="20"/>
          <w:szCs w:val="20"/>
        </w:rPr>
        <w:fldChar w:fldCharType="separate"/>
      </w:r>
      <w:r w:rsidRPr="009A0738">
        <w:rPr>
          <w:rFonts w:ascii="Kaiti SC Regular" w:eastAsia="Kaiti SC Regular" w:hAnsi="Kaiti SC Regular"/>
          <w:noProof/>
          <w:sz w:val="20"/>
          <w:szCs w:val="20"/>
        </w:rPr>
        <w:t xml:space="preserve">(Horvath </w:t>
      </w:r>
      <w:r w:rsidRPr="009A0738">
        <w:rPr>
          <w:rFonts w:ascii="Kaiti SC Regular" w:eastAsia="Kaiti SC Regular" w:hAnsi="Kaiti SC Regular"/>
          <w:i/>
          <w:noProof/>
          <w:sz w:val="20"/>
          <w:szCs w:val="20"/>
        </w:rPr>
        <w:t>et al.</w:t>
      </w:r>
      <w:r w:rsidRPr="009A0738">
        <w:rPr>
          <w:rFonts w:ascii="Kaiti SC Regular" w:eastAsia="Kaiti SC Regular" w:hAnsi="Kaiti SC Regular"/>
          <w:noProof/>
          <w:sz w:val="20"/>
          <w:szCs w:val="20"/>
        </w:rPr>
        <w:t xml:space="preserve"> 2016)</w:t>
      </w:r>
      <w:r w:rsidRPr="009A0738">
        <w:rPr>
          <w:rFonts w:ascii="Kaiti SC Regular" w:eastAsia="Kaiti SC Regular" w:hAnsi="Kaiti SC Regular"/>
          <w:sz w:val="20"/>
          <w:szCs w:val="20"/>
        </w:rPr>
        <w:fldChar w:fldCharType="end"/>
      </w:r>
      <w:r w:rsidRPr="009A0738">
        <w:rPr>
          <w:rFonts w:ascii="Kaiti SC Regular" w:eastAsia="Kaiti SC Regular" w:hAnsi="Kaiti SC Regular" w:hint="eastAsia"/>
          <w:sz w:val="20"/>
          <w:szCs w:val="20"/>
        </w:rPr>
        <w:t>。而且对于病变的器官，其预测的甲基化年龄往往高于物理</w:t>
      </w:r>
      <w:r w:rsidR="002A377E" w:rsidRPr="009A0738">
        <w:rPr>
          <w:rFonts w:ascii="Kaiti SC Regular" w:eastAsia="Kaiti SC Regular" w:hAnsi="Kaiti SC Regular" w:hint="eastAsia"/>
          <w:sz w:val="20"/>
          <w:szCs w:val="20"/>
        </w:rPr>
        <w:t>年龄。</w:t>
      </w:r>
    </w:p>
    <w:p w14:paraId="39756380" w14:textId="77777777" w:rsidR="00156FAF" w:rsidRDefault="002A377E" w:rsidP="00371BD7">
      <w:pPr>
        <w:rPr>
          <w:rFonts w:ascii="Kaiti SC Regular" w:eastAsia="Kaiti SC Regular" w:hAnsi="Kaiti SC Regular"/>
          <w:sz w:val="20"/>
          <w:szCs w:val="20"/>
        </w:rPr>
      </w:pPr>
      <w:r w:rsidRPr="009A0738">
        <w:rPr>
          <w:rFonts w:ascii="Kaiti SC Regular" w:eastAsia="Kaiti SC Regular" w:hAnsi="Kaiti SC Regular" w:hint="eastAsia"/>
          <w:sz w:val="20"/>
          <w:szCs w:val="20"/>
        </w:rPr>
        <w:t>研究中发现甲基化年龄在一系列疾病中会加速</w:t>
      </w:r>
    </w:p>
    <w:p w14:paraId="7F248E6B" w14:textId="522B29D6" w:rsidR="00D26366" w:rsidRDefault="002A377E" w:rsidP="00371BD7">
      <w:pPr>
        <w:rPr>
          <w:rFonts w:ascii="Kaiti SC Regular" w:eastAsia="Kaiti SC Regular" w:hAnsi="Kaiti SC Regular"/>
          <w:sz w:val="20"/>
          <w:szCs w:val="20"/>
        </w:rPr>
      </w:pPr>
      <w:r w:rsidRPr="009A0738">
        <w:rPr>
          <w:rFonts w:ascii="Kaiti SC Regular" w:eastAsia="Kaiti SC Regular" w:hAnsi="Kaiti SC Regular" w:hint="eastAsia"/>
          <w:sz w:val="20"/>
          <w:szCs w:val="20"/>
        </w:rPr>
        <w:t>Down Syndrome</w:t>
      </w:r>
      <w:r w:rsidR="00D26366">
        <w:rPr>
          <w:rFonts w:ascii="Kaiti SC Regular" w:eastAsia="Kaiti SC Regular" w:hAnsi="Kaiti SC Regular"/>
          <w:sz w:val="20"/>
          <w:szCs w:val="20"/>
        </w:rPr>
        <w:fldChar w:fldCharType="begin" w:fldLock="1"/>
      </w:r>
      <w:r w:rsidR="00D26366">
        <w:rPr>
          <w:rFonts w:ascii="Kaiti SC Regular" w:eastAsia="Kaiti SC Regular" w:hAnsi="Kaiti SC Regular"/>
          <w:sz w:val="20"/>
          <w:szCs w:val="20"/>
        </w:rPr>
        <w:instrText>ADDIN CSL_CITATION {"citationItems":[{"id":"ITEM-1","itemData":{"DOI":"10.1111/acel.12325","ISBN":"1474-9726 (Electronic)\\r1474-9718 (Linking)","ISSN":"14749726","PMID":"25678027","abstract":"Down Syndrome (DS) entails an increased risk of many chronic diseases that are typically associated with older age. The clinical manifestations of accelerated aging suggest that trisomy 21 increases the biological age of tissues, but molecular evidence for this hypothesis has been sparse. Here, we utilize a quantitative molecular marker of aging (known as the epigenetic clock) to demonstrate that trisomy 21 significantly increases the age of blood and brain tissue (on average by 6.6 years, P = 7.0 × 10-14 ).","author":[{"dropping-particle":"","family":"Horvath","given":"Steve","non-dropping-particle":"","parse-names":false,"suffix":""},{"dropping-particle":"","family":"Garagnani","given":"Paolo","non-dropping-particle":"","parse-names":false,"suffix":""},{"dropping-particle":"","family":"Bacalini","given":"Maria Giulia","non-dropping-particle":"","parse-names":false,"suffix":""},{"dropping-particle":"","family":"Pirazzini","given":"Chiara","non-dropping-particle":"","parse-names":false,"suffix":""},{"dropping-particle":"","family":"Salvioli","given":"Stefano","non-dropping-particle":"","parse-names":false,"suffix":""},{"dropping-particle":"","family":"Gentilini","given":"Davide","non-dropping-particle":"","parse-names":false,"suffix":""},{"dropping-particle":"","family":"Blasio","given":"Anna Maria","non-dropping-particle":"Di","parse-names":false,"suffix":""},{"dropping-particle":"","family":"Giuliani","given":"Cristina","non-dropping-particle":"","parse-names":false,"suffix":""},{"dropping-particle":"","family":"Tung","given":"Spencer","non-dropping-particle":"","parse-names":false,"suffix":""},{"dropping-particle":"V.","family":"Vinters","given":"Harry","non-dropping-particle":"","parse-names":false,"suffix":""},{"dropping-particle":"","family":"Franceschi","given":"Claudio","non-dropping-particle":"","parse-names":false,"suffix":""}],"container-title":"Aging Cell","id":"ITEM-1","issue":"3","issued":{"date-parts":[["2015"]]},"page":"491-495","title":"Accelerated epigenetic aging in Down syndrome","type":"article-journal","volume":"14"},"uris":["http://www.mendeley.com/documents/?uuid=3ae0a29f-352f-462f-93cd-d113a8d6759b"]}],"mendeley":{"formattedCitation":"(Horvath &lt;i&gt;et al.&lt;/i&gt; 2015)","plainTextFormattedCitation":"(Horvath et al. 2015)","previouslyFormattedCitation":"(Horvath &lt;i&gt;et al.&lt;/i&gt; 2015)"},"properties":{"noteIndex":0},"schema":"https://github.com/citation-style-language/schema/raw/master/csl-citation.json"}</w:instrText>
      </w:r>
      <w:r w:rsidR="00D26366">
        <w:rPr>
          <w:rFonts w:ascii="Kaiti SC Regular" w:eastAsia="Kaiti SC Regular" w:hAnsi="Kaiti SC Regular"/>
          <w:sz w:val="20"/>
          <w:szCs w:val="20"/>
        </w:rPr>
        <w:fldChar w:fldCharType="separate"/>
      </w:r>
      <w:r w:rsidR="00D26366" w:rsidRPr="00D26366">
        <w:rPr>
          <w:rFonts w:ascii="Kaiti SC Regular" w:eastAsia="Kaiti SC Regular" w:hAnsi="Kaiti SC Regular"/>
          <w:noProof/>
          <w:sz w:val="20"/>
          <w:szCs w:val="20"/>
        </w:rPr>
        <w:t xml:space="preserve">(Horvath </w:t>
      </w:r>
      <w:r w:rsidR="00D26366" w:rsidRPr="00D26366">
        <w:rPr>
          <w:rFonts w:ascii="Kaiti SC Regular" w:eastAsia="Kaiti SC Regular" w:hAnsi="Kaiti SC Regular"/>
          <w:i/>
          <w:noProof/>
          <w:sz w:val="20"/>
          <w:szCs w:val="20"/>
        </w:rPr>
        <w:t>et al.</w:t>
      </w:r>
      <w:r w:rsidR="00D26366" w:rsidRPr="00D26366">
        <w:rPr>
          <w:rFonts w:ascii="Kaiti SC Regular" w:eastAsia="Kaiti SC Regular" w:hAnsi="Kaiti SC Regular"/>
          <w:noProof/>
          <w:sz w:val="20"/>
          <w:szCs w:val="20"/>
        </w:rPr>
        <w:t xml:space="preserve"> 2015)</w:t>
      </w:r>
      <w:r w:rsidR="00D26366">
        <w:rPr>
          <w:rFonts w:ascii="Kaiti SC Regular" w:eastAsia="Kaiti SC Regular" w:hAnsi="Kaiti SC Regular"/>
          <w:sz w:val="20"/>
          <w:szCs w:val="20"/>
        </w:rPr>
        <w:fldChar w:fldCharType="end"/>
      </w:r>
      <w:r w:rsidR="00156FAF">
        <w:rPr>
          <w:rFonts w:ascii="Kaiti SC Regular" w:eastAsia="Kaiti SC Regular" w:hAnsi="Kaiti SC Regular" w:hint="eastAsia"/>
          <w:sz w:val="20"/>
          <w:szCs w:val="20"/>
        </w:rPr>
        <w:t>，</w:t>
      </w:r>
      <w:r w:rsidR="00D26366">
        <w:rPr>
          <w:rFonts w:ascii="Kaiti SC Regular" w:eastAsia="Kaiti SC Regular" w:hAnsi="Kaiti SC Regular" w:hint="eastAsia"/>
          <w:sz w:val="20"/>
          <w:szCs w:val="20"/>
        </w:rPr>
        <w:t>女性乳腺组织</w:t>
      </w:r>
      <w:r w:rsidR="00D26366">
        <w:rPr>
          <w:rFonts w:ascii="Kaiti SC Regular" w:eastAsia="Kaiti SC Regular" w:hAnsi="Kaiti SC Regular"/>
          <w:sz w:val="20"/>
          <w:szCs w:val="20"/>
        </w:rPr>
        <w:fldChar w:fldCharType="begin" w:fldLock="1"/>
      </w:r>
      <w:r w:rsidR="00D26366">
        <w:rPr>
          <w:rFonts w:ascii="Kaiti SC Regular" w:eastAsia="Kaiti SC Regular" w:hAnsi="Kaiti SC Regular"/>
          <w:sz w:val="20"/>
          <w:szCs w:val="20"/>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types","type":"article-journal","volume":"14"},"uris":["http://www.mendeley.com/documents/?uuid=6fde73a9-5004-4621-ae2d-3053daf52253"]}],"mendeley":{"formattedCitation":"(Horvath 2013)","plainTextFormattedCitation":"(Horvath 2013)"},"properties":{"noteIndex":0},"schema":"https://github.com/citation-style-language/schema/raw/master/csl-citation.json"}</w:instrText>
      </w:r>
      <w:r w:rsidR="00D26366">
        <w:rPr>
          <w:rFonts w:ascii="Kaiti SC Regular" w:eastAsia="Kaiti SC Regular" w:hAnsi="Kaiti SC Regular"/>
          <w:sz w:val="20"/>
          <w:szCs w:val="20"/>
        </w:rPr>
        <w:fldChar w:fldCharType="separate"/>
      </w:r>
      <w:r w:rsidR="00D26366" w:rsidRPr="00D26366">
        <w:rPr>
          <w:rFonts w:ascii="Kaiti SC Regular" w:eastAsia="Kaiti SC Regular" w:hAnsi="Kaiti SC Regular"/>
          <w:noProof/>
          <w:sz w:val="20"/>
          <w:szCs w:val="20"/>
        </w:rPr>
        <w:t>(Horvath 2013)</w:t>
      </w:r>
      <w:r w:rsidR="00D26366">
        <w:rPr>
          <w:rFonts w:ascii="Kaiti SC Regular" w:eastAsia="Kaiti SC Regular" w:hAnsi="Kaiti SC Regular"/>
          <w:sz w:val="20"/>
          <w:szCs w:val="20"/>
        </w:rPr>
        <w:fldChar w:fldCharType="end"/>
      </w:r>
      <w:r w:rsidR="00D26366">
        <w:rPr>
          <w:rFonts w:ascii="Kaiti SC Regular" w:eastAsia="Kaiti SC Regular" w:hAnsi="Kaiti SC Regular" w:hint="eastAsia"/>
          <w:sz w:val="20"/>
          <w:szCs w:val="20"/>
        </w:rPr>
        <w:t>。更加详尽的列表可以在wiki上找到</w:t>
      </w:r>
      <w:r w:rsidR="00D26366" w:rsidRPr="009A0738">
        <w:rPr>
          <w:rFonts w:ascii="Kaiti SC Regular" w:eastAsia="Kaiti SC Regular" w:hAnsi="Kaiti SC Regular" w:hint="eastAsia"/>
          <w:sz w:val="20"/>
          <w:szCs w:val="20"/>
        </w:rPr>
        <w:t>[</w:t>
      </w:r>
      <w:hyperlink r:id="rId10" w:history="1">
        <w:r w:rsidR="00D26366" w:rsidRPr="009A0738">
          <w:rPr>
            <w:rFonts w:ascii="Kaiti SC Regular" w:eastAsia="Kaiti SC Regular" w:hAnsi="Kaiti SC Regular" w:cs="Times New Roman"/>
            <w:color w:val="0000FF"/>
            <w:sz w:val="20"/>
            <w:szCs w:val="20"/>
            <w:u w:val="single"/>
            <w:lang w:eastAsia="en-US"/>
          </w:rPr>
          <w:t>https://en.wikipedia.org/wiki/Epigenetic_clock</w:t>
        </w:r>
      </w:hyperlink>
      <w:r w:rsidR="00D26366" w:rsidRPr="009A0738">
        <w:rPr>
          <w:rFonts w:ascii="Kaiti SC Regular" w:eastAsia="Kaiti SC Regular" w:hAnsi="Kaiti SC Regular" w:hint="eastAsia"/>
          <w:sz w:val="20"/>
          <w:szCs w:val="20"/>
        </w:rPr>
        <w:t>]</w:t>
      </w:r>
      <w:r w:rsidR="00D26366">
        <w:rPr>
          <w:rFonts w:ascii="Kaiti SC Regular" w:eastAsia="Kaiti SC Regular" w:hAnsi="Kaiti SC Regular" w:hint="eastAsia"/>
          <w:sz w:val="20"/>
          <w:szCs w:val="20"/>
        </w:rPr>
        <w:t>。</w:t>
      </w:r>
    </w:p>
    <w:p w14:paraId="4A3CC07D" w14:textId="437216E9" w:rsidR="00D26366" w:rsidRDefault="002A377E" w:rsidP="00371BD7">
      <w:pPr>
        <w:rPr>
          <w:rFonts w:ascii="Kaiti SC Regular" w:eastAsia="Kaiti SC Regular" w:hAnsi="Kaiti SC Regular"/>
          <w:sz w:val="20"/>
          <w:szCs w:val="20"/>
        </w:rPr>
      </w:pPr>
      <w:r w:rsidRPr="009A0738">
        <w:rPr>
          <w:rFonts w:ascii="Kaiti SC Regular" w:eastAsia="Kaiti SC Regular" w:hAnsi="Kaiti SC Regular" w:hint="eastAsia"/>
          <w:sz w:val="20"/>
          <w:szCs w:val="20"/>
        </w:rPr>
        <w:t>另外生活</w:t>
      </w:r>
      <w:r w:rsidR="00156FAF">
        <w:rPr>
          <w:rFonts w:ascii="Kaiti SC Regular" w:eastAsia="Kaiti SC Regular" w:hAnsi="Kaiti SC Regular" w:hint="eastAsia"/>
          <w:sz w:val="20"/>
          <w:szCs w:val="20"/>
        </w:rPr>
        <w:t>历</w:t>
      </w:r>
      <w:r w:rsidRPr="009A0738">
        <w:rPr>
          <w:rFonts w:ascii="Kaiti SC Regular" w:eastAsia="Kaiti SC Regular" w:hAnsi="Kaiti SC Regular" w:hint="eastAsia"/>
          <w:sz w:val="20"/>
          <w:szCs w:val="20"/>
        </w:rPr>
        <w:t>也会导致甲基化年龄加速，比如</w:t>
      </w:r>
      <w:r w:rsidR="00156FAF">
        <w:rPr>
          <w:rFonts w:ascii="Kaiti SC Regular" w:eastAsia="Kaiti SC Regular" w:hAnsi="Kaiti SC Regular" w:hint="eastAsia"/>
          <w:sz w:val="20"/>
          <w:szCs w:val="20"/>
        </w:rPr>
        <w:t>饮食</w:t>
      </w:r>
      <w:r w:rsidRPr="009A0738">
        <w:rPr>
          <w:rFonts w:ascii="Kaiti SC Regular" w:eastAsia="Kaiti SC Regular" w:hAnsi="Kaiti SC Regular" w:hint="eastAsia"/>
          <w:sz w:val="20"/>
          <w:szCs w:val="20"/>
        </w:rPr>
        <w:t>，</w:t>
      </w:r>
      <w:r w:rsidR="00156FAF">
        <w:rPr>
          <w:rFonts w:ascii="Kaiti SC Regular" w:eastAsia="Kaiti SC Regular" w:hAnsi="Kaiti SC Regular" w:hint="eastAsia"/>
          <w:sz w:val="20"/>
          <w:szCs w:val="20"/>
        </w:rPr>
        <w:t>教育，锻炼等等因素，都会导致甲基化年龄变化</w:t>
      </w:r>
      <w:r w:rsidR="00D26366">
        <w:rPr>
          <w:rFonts w:ascii="Kaiti SC Regular" w:eastAsia="Kaiti SC Regular" w:hAnsi="Kaiti SC Regular"/>
          <w:sz w:val="20"/>
          <w:szCs w:val="20"/>
        </w:rPr>
        <w:fldChar w:fldCharType="begin" w:fldLock="1"/>
      </w:r>
      <w:r w:rsidR="00D26366">
        <w:rPr>
          <w:rFonts w:ascii="Kaiti SC Regular" w:eastAsia="Kaiti SC Regular" w:hAnsi="Kaiti SC Regular"/>
          <w:sz w:val="20"/>
          <w:szCs w:val="20"/>
        </w:rPr>
        <w:instrText>ADDIN CSL_CITATION {"citationItems":[{"id":"ITEM-1","itemData":{"DOI":"10.18632/aging.101168","ISSN":"19454589","abstract":"Behavioral and lifestyle factors have been shown to relate to a number of health-related outcomes, yet there is a need for studies that examine their relationship to molecular aging rates. Toward this end, we use recent epi genetic biomarkers of age that have previously been shown to predict all-cause mortality, chronic conditions and age-related functional decline. We analyze cross-sectional data from 4,173 postmenopausal female participants from the Women's Health Initiative, as well as 402 male and female participants from the Italian cohort study, Invecchiare nel Chianti. Extrinsic epigenetic age acceleration (EEAA) exhibits significant associations with fish intake (p=0.02), moderate alcohol consumption (p=0.01), education (p=3x10 -5 ), BMI (p=0.01), and blood carotenoid levels (p=1x10 -5 )-an indicator of fruit and vegetable consumption, whereas intrinsic epigenetic age acceleration (IEAA) is associated with poultry intake (p=0.03) and BMI (p=0.05). Both EEAA and IEAA were also found to relate to indicators of metabolic syndrome, which appear to mediate their associations with BMI. Metformin-the first-line medication for the treatment of type 2 diabetes-does not delay epigenetic aging in this observational study. Finally, longitudinal data suggests that an increase in BMI is associated with increase in both EEAA and IEAA. Overall, the epigenetic age analysis of blood confirms the conventional wisdom regarding the benefits of eating a high plant diet with lean meats, moderate alcohol consumption, physical activity, and education, as well as the health risks of obesity and metabolic syndrome.","author":[{"dropping-particle":"","family":"Quach","given":"Austin","non-dropping-particle":"","parse-names":false,"suffix":""},{"dropping-particle":"","family":"Levine","given":"Morgan E.","non-dropping-particle":"","parse-names":false,"suffix":""},{"dropping-particle":"","family":"Tanaka","given":"Toshiko","non-dropping-particle":"","parse-names":false,"suffix":""},{"dropping-particle":"","family":"Lu","given":"Ake T.","non-dropping-particle":"","parse-names":false,"suffix":""},{"dropping-particle":"","family":"Chen","given":"Brian H.","non-dropping-particle":"","parse-names":false,"suffix":""},{"dropping-particle":"","family":"Ferrucci","given":"Luigi","non-dropping-particle":"","parse-names":false,"suffix":""},{"dropping-particle":"","family":"Ritz","given":"Beate","non-dropping-particle":"","parse-names":false,"suffix":""},{"dropping-particle":"","family":"Bandinelli","given":"Stefania","non-dropping-particle":"","parse-names":false,"suffix":""},{"dropping-particle":"","family":"Neuhouser","given":"Marian L.","non-dropping-particle":"","parse-names":false,"suffix":""},{"dropping-particle":"","family":"Beasley","given":"Jeannette M.","non-dropping-particle":"","parse-names":false,"suffix":""},{"dropping-particle":"","family":"Snetselaar","given":"Linda","non-dropping-particle":"","parse-names":false,"suffix":""},{"dropping-particle":"","family":"Wallace","given":"Robert B.","non-dropping-particle":"","parse-names":false,"suffix":""},{"dropping-particle":"","family":"Tsao","given":"Philip S.","non-dropping-particle":"","parse-names":false,"suffix":""},{"dropping-particle":"","family":"Absher","given":"Devin","non-dropping-particle":"","parse-names":false,"suffix":""},{"dropping-particle":"","family":"Assimes","given":"Themistocles L.","non-dropping-particle":"","parse-names":false,"suffix":""},{"dropping-particle":"","family":"Stewart","given":"James D.","non-dropping-particle":"","parse-names":false,"suffix":""},{"dropping-particle":"","family":"Li","given":"Yun","non-dropping-particle":"","parse-names":false,"suffix":""},{"dropping-particle":"","family":"Hou","given":"Lifang","non-dropping-particle":"","parse-names":false,"suffix":""},{"dropping-particle":"","family":"Baccarelli","given":"Andrea A.","non-dropping-particle":"","parse-names":false,"suffix":""},{"dropping-particle":"","family":"Whitsel","given":"Eric A.","non-dropping-particle":"","parse-names":false,"suffix":""},{"dropping-particle":"","family":"Horvath","given":"Steve","non-dropping-particle":"","parse-names":false,"suffix":""}],"container-title":"Aging","id":"ITEM-1","issue":"2","issued":{"date-parts":[["2017"]]},"page":"419-446","title":"Epigenetic clock analysis of diet, exercise, education, and lifestyle factors","type":"article-journal","volume":"9"},"uris":["http://www.mendeley.com/documents/?uuid=d2280fd1-385f-4fab-b9b0-5910a293e92d"]}],"mendeley":{"formattedCitation":"(Quach &lt;i&gt;et al.&lt;/i&gt; 2017)","plainTextFormattedCitation":"(Quach et al. 2017)","previouslyFormattedCitation":"(Quach &lt;i&gt;et al.&lt;/i&gt; 2017)"},"properties":{"noteIndex":0},"schema":"https://github.com/citation-style-language/schema/raw/master/csl-citation.json"}</w:instrText>
      </w:r>
      <w:r w:rsidR="00D26366">
        <w:rPr>
          <w:rFonts w:ascii="Kaiti SC Regular" w:eastAsia="Kaiti SC Regular" w:hAnsi="Kaiti SC Regular"/>
          <w:sz w:val="20"/>
          <w:szCs w:val="20"/>
        </w:rPr>
        <w:fldChar w:fldCharType="separate"/>
      </w:r>
      <w:r w:rsidR="00D26366" w:rsidRPr="00D26366">
        <w:rPr>
          <w:rFonts w:ascii="Kaiti SC Regular" w:eastAsia="Kaiti SC Regular" w:hAnsi="Kaiti SC Regular"/>
          <w:noProof/>
          <w:sz w:val="20"/>
          <w:szCs w:val="20"/>
        </w:rPr>
        <w:t xml:space="preserve">(Quach </w:t>
      </w:r>
      <w:r w:rsidR="00D26366" w:rsidRPr="00D26366">
        <w:rPr>
          <w:rFonts w:ascii="Kaiti SC Regular" w:eastAsia="Kaiti SC Regular" w:hAnsi="Kaiti SC Regular"/>
          <w:i/>
          <w:noProof/>
          <w:sz w:val="20"/>
          <w:szCs w:val="20"/>
        </w:rPr>
        <w:t>et al.</w:t>
      </w:r>
      <w:r w:rsidR="00D26366" w:rsidRPr="00D26366">
        <w:rPr>
          <w:rFonts w:ascii="Kaiti SC Regular" w:eastAsia="Kaiti SC Regular" w:hAnsi="Kaiti SC Regular"/>
          <w:noProof/>
          <w:sz w:val="20"/>
          <w:szCs w:val="20"/>
        </w:rPr>
        <w:t xml:space="preserve"> 2017)</w:t>
      </w:r>
      <w:r w:rsidR="00D26366">
        <w:rPr>
          <w:rFonts w:ascii="Kaiti SC Regular" w:eastAsia="Kaiti SC Regular" w:hAnsi="Kaiti SC Regular"/>
          <w:sz w:val="20"/>
          <w:szCs w:val="20"/>
        </w:rPr>
        <w:fldChar w:fldCharType="end"/>
      </w:r>
      <w:r w:rsidR="00D26366">
        <w:rPr>
          <w:rFonts w:ascii="Kaiti SC Regular" w:eastAsia="Kaiti SC Regular" w:hAnsi="Kaiti SC Regular" w:hint="eastAsia"/>
          <w:sz w:val="20"/>
          <w:szCs w:val="20"/>
        </w:rPr>
        <w:t>；而肥胖则会显著加速肝组织的甲基化年龄</w:t>
      </w:r>
      <w:r w:rsidR="00D26366">
        <w:rPr>
          <w:rFonts w:ascii="Kaiti SC Regular" w:eastAsia="Kaiti SC Regular" w:hAnsi="Kaiti SC Regular"/>
          <w:sz w:val="20"/>
          <w:szCs w:val="20"/>
        </w:rPr>
        <w:fldChar w:fldCharType="begin" w:fldLock="1"/>
      </w:r>
      <w:r w:rsidR="00D26366">
        <w:rPr>
          <w:rFonts w:ascii="Kaiti SC Regular" w:eastAsia="Kaiti SC Regular" w:hAnsi="Kaiti SC Regular"/>
          <w:sz w:val="20"/>
          <w:szCs w:val="20"/>
        </w:rPr>
        <w:instrText>ADDIN CSL_CITATION {"citationItems":[{"id":"ITEM-1","itemData":{"DOI":"10.1073/pnas.1412759111","ISSN":"10916490","abstract":"Because of the dearth of biomarkers of aging, it has been difficult to test the hypothesis that obesity increases tissue age. Here we use a novel epigenetic biomarker of aging (referred to as an \"epigenetic clock\") to study the relationship between high body mass index (BMI) and the DNA methylation ages of human blood, liver, muscle, and adipose tissue. A significant correlation between BMI and epigenetic age acceleration could only be observed for liver (r = 0.42, P = 6.8 × 10(-4) in dataset 1 and r = 0.42, P = 1.2 × 10(-4) in dataset 2). On average, epigenetic age increased by 3.3 y for each 10 BMI units. The detected age acceleration in liver is not associated with the Nonalcoholic Fatty Liver Disease Activity Score or any of its component traits after adjustment for BMI. The 279 genes that are underexpressed in older liver samples are highly enriched (1.2 × 10(-9)) with nuclear mitochondrial genes that play a role in oxidative phosphorylation and electron transport. The epigenetic age acceleration, which is not reversible in the short term after rapid weight loss induced by bariatric surgery, may play a role in liver-related comorbidities of obesity, such as insulin resistance and liver cancer.","author":[{"dropping-particle":"","family":"Horvath","given":"Steve","non-dropping-particle":"","parse-names":false,"suffix":""},{"dropping-particle":"","family":"Erhart","given":"Wiebke","non-dropping-particle":"","parse-names":false,"suffix":""},{"dropping-particle":"","family":"Brosch","given":"Mario","non-dropping-particle":"","parse-names":false,"suffix":""},{"dropping-particle":"","family":"Ammerpohl","given":"Ole","non-dropping-particle":"","parse-names":false,"suffix":""},{"dropping-particle":"","family":"Schönfels","given":"Witigo","non-dropping-particle":"Von","parse-names":false,"suffix":""},{"dropping-particle":"","family":"Ahrens","given":"Markus","non-dropping-particle":"","parse-names":false,"suffix":""},{"dropping-particle":"","family":"Heits","given":"Nils","non-dropping-particle":"","parse-names":false,"suffix":""},{"dropping-particle":"","family":"Bell","given":"Jordana T.","non-dropping-particle":"","parse-names":false,"suffix":""},{"dropping-particle":"","family":"Tsai","given":"Pei Chien","non-dropping-particle":"","parse-names":false,"suffix":""},{"dropping-particle":"","family":"Spector","given":"Tim D.","non-dropping-particle":"","parse-names":false,"suffix":""},{"dropping-particle":"","family":"Deloukas","given":"Panos","non-dropping-particle":"","parse-names":false,"suffix":""},{"dropping-particle":"","family":"Siebert","given":"Reiner","non-dropping-particle":"","parse-names":false,"suffix":""},{"dropping-particle":"","family":"Sipos","given":"Bence","non-dropping-particle":"","parse-names":false,"suffix":""},{"dropping-particle":"","family":"Becker","given":"Thomas","non-dropping-particle":"","parse-names":false,"suffix":""},{"dropping-particle":"","family":"Röcken","given":"Christoph","non-dropping-particle":"","parse-names":false,"suffix":""},{"dropping-particle":"","family":"Schafmayer","given":"Clemens","non-dropping-particle":"","parse-names":false,"suffix":""},{"dropping-particle":"","family":"Hampe","given":"Jochen","non-dropping-particle":"","parse-names":false,"suffix":""}],"container-title":"Proceedings of the National Academy of Sciences of the United States of America","id":"ITEM-1","issue":"43","issued":{"date-parts":[["2014"]]},"page":"15538-15543","title":"Obesity accelerates epigenetic aging of human liver","type":"article-journal","volume":"111"},"uris":["http://www.mendeley.com/documents/?uuid=e4dbe40f-8da5-4530-af4e-a7091e657f45"]}],"mendeley":{"formattedCitation":"(Horvath &lt;i&gt;et al.&lt;/i&gt; 2014)","plainTextFormattedCitation":"(Horvath et al. 2014)","previouslyFormattedCitation":"(Horvath &lt;i&gt;et al.&lt;/i&gt; 2014)"},"properties":{"noteIndex":0},"schema":"https://github.com/citation-style-language/schema/raw/master/csl-citation.json"}</w:instrText>
      </w:r>
      <w:r w:rsidR="00D26366">
        <w:rPr>
          <w:rFonts w:ascii="Kaiti SC Regular" w:eastAsia="Kaiti SC Regular" w:hAnsi="Kaiti SC Regular"/>
          <w:sz w:val="20"/>
          <w:szCs w:val="20"/>
        </w:rPr>
        <w:fldChar w:fldCharType="separate"/>
      </w:r>
      <w:r w:rsidR="00D26366" w:rsidRPr="00D26366">
        <w:rPr>
          <w:rFonts w:ascii="Kaiti SC Regular" w:eastAsia="Kaiti SC Regular" w:hAnsi="Kaiti SC Regular"/>
          <w:noProof/>
          <w:sz w:val="20"/>
          <w:szCs w:val="20"/>
        </w:rPr>
        <w:t xml:space="preserve">(Horvath </w:t>
      </w:r>
      <w:r w:rsidR="00D26366" w:rsidRPr="00D26366">
        <w:rPr>
          <w:rFonts w:ascii="Kaiti SC Regular" w:eastAsia="Kaiti SC Regular" w:hAnsi="Kaiti SC Regular"/>
          <w:i/>
          <w:noProof/>
          <w:sz w:val="20"/>
          <w:szCs w:val="20"/>
        </w:rPr>
        <w:t>et al.</w:t>
      </w:r>
      <w:r w:rsidR="00D26366" w:rsidRPr="00D26366">
        <w:rPr>
          <w:rFonts w:ascii="Kaiti SC Regular" w:eastAsia="Kaiti SC Regular" w:hAnsi="Kaiti SC Regular"/>
          <w:noProof/>
          <w:sz w:val="20"/>
          <w:szCs w:val="20"/>
        </w:rPr>
        <w:t xml:space="preserve"> 2014)</w:t>
      </w:r>
      <w:r w:rsidR="00D26366">
        <w:rPr>
          <w:rFonts w:ascii="Kaiti SC Regular" w:eastAsia="Kaiti SC Regular" w:hAnsi="Kaiti SC Regular"/>
          <w:sz w:val="20"/>
          <w:szCs w:val="20"/>
        </w:rPr>
        <w:fldChar w:fldCharType="end"/>
      </w:r>
      <w:r w:rsidR="00D26366">
        <w:rPr>
          <w:rFonts w:ascii="Kaiti SC Regular" w:eastAsia="Kaiti SC Regular" w:hAnsi="Kaiti SC Regular" w:hint="eastAsia"/>
          <w:sz w:val="20"/>
          <w:szCs w:val="20"/>
        </w:rPr>
        <w:t>。</w:t>
      </w:r>
      <w:r w:rsidRPr="009A0738">
        <w:rPr>
          <w:rFonts w:ascii="Kaiti SC Regular" w:eastAsia="Kaiti SC Regular" w:hAnsi="Kaiti SC Regular" w:hint="eastAsia"/>
          <w:sz w:val="20"/>
          <w:szCs w:val="20"/>
        </w:rPr>
        <w:t>最近。</w:t>
      </w:r>
      <w:r w:rsidR="001752C4" w:rsidRPr="009A0738">
        <w:rPr>
          <w:rFonts w:ascii="Kaiti SC Regular" w:eastAsia="Kaiti SC Regular" w:hAnsi="Kaiti SC Regular" w:hint="eastAsia"/>
          <w:sz w:val="20"/>
          <w:szCs w:val="20"/>
        </w:rPr>
        <w:t>Steve Horvath</w:t>
      </w:r>
      <w:r w:rsidRPr="009A0738">
        <w:rPr>
          <w:rFonts w:ascii="Kaiti SC Regular" w:eastAsia="Kaiti SC Regular" w:hAnsi="Kaiti SC Regular" w:hint="eastAsia"/>
          <w:sz w:val="20"/>
          <w:szCs w:val="20"/>
        </w:rPr>
        <w:t>与合作者</w:t>
      </w:r>
      <w:r w:rsidR="001752C4" w:rsidRPr="009A0738">
        <w:rPr>
          <w:rFonts w:ascii="Kaiti SC Regular" w:eastAsia="Kaiti SC Regular" w:hAnsi="Kaiti SC Regular" w:hint="eastAsia"/>
          <w:sz w:val="20"/>
          <w:szCs w:val="20"/>
        </w:rPr>
        <w:t>又根据实际数据分析，进一步提出了更广泛可以使用的甲基化标记</w:t>
      </w:r>
      <w:r w:rsidR="001752C4" w:rsidRPr="009A0738">
        <w:rPr>
          <w:rFonts w:ascii="Kaiti SC Regular" w:eastAsia="Kaiti SC Regular" w:hAnsi="Kaiti SC Regular"/>
          <w:sz w:val="20"/>
          <w:szCs w:val="20"/>
        </w:rPr>
        <w:fldChar w:fldCharType="begin" w:fldLock="1"/>
      </w:r>
      <w:r w:rsidR="001752C4" w:rsidRPr="009A0738">
        <w:rPr>
          <w:rFonts w:ascii="Kaiti SC Regular" w:eastAsia="Kaiti SC Regular" w:hAnsi="Kaiti SC Regular"/>
          <w:sz w:val="20"/>
          <w:szCs w:val="20"/>
        </w:rPr>
        <w:instrText>ADDIN CSL_CITATION {"citationItems":[{"id":"ITEM-1","itemData":{"DOI":"10.18632/aging.101414","ISBN":"1945-4589","ISSN":"19454589","PMID":"29676998","abstract":"Identifying reliable biomarkers of aging is a major goal in geroscience. While the first generation of epigenetic biomarkers of aging were developed using chronological age as a surrogate for biological age, we hypothesized that incorporation of composite clinical measures of phenotypic age that capture differences in lifespan and healthspan may identify novel CpGs and facilitate the development of a more powerful epigenetic biomarker of aging. Using an innovative two-step process, we develop a new epigenetic biomarker of aging, DNAm PhenoAge, that strongly outperforms previous measures in regards to predictions for a variety of aging outcomes, including all-cause mortality, cancers, healthspan, physical functioning, and Alzheimer's disease. While this biomarker was developed using data from whole blood, it correlates strongly with age in every tissue and cell tested. Based on an in-depth transcriptional analysis in sorted cells, we find that increased epigenetic, relative to chronological age, is associated with increased activation of pro-inflammatory and interferon pathways, and decreased activation of transcriptional/translational machinery, DNA damage response, and mitochondrial signatures. Overall, this single epigenetic biomarker of aging is able to capture risks for an array of diverse outcomes across multiple tissues and cells, and provide insight into important pathways in aging.","author":[{"dropping-particle":"","family":"Levine","given":"Morgan E.","non-dropping-particle":"","parse-names":false,"suffix":""},{"dropping-particle":"","family":"Lu","given":"Ake T.","non-dropping-particle":"","parse-names":false,"suffix":""},{"dropping-particle":"","family":"Quach","given":"Austin","non-dropping-particle":"","parse-names":false,"suffix":""},{"dropping-particle":"","family":"Chen","given":"Brian H.","non-dropping-particle":"","parse-names":false,"suffix":""},{"dropping-particle":"","family":"Assimes","given":"Themistocles L.","non-dropping-particle":"","parse-names":false,"suffix":""},{"dropping-particle":"","family":"Bandinelli","given":"Stefania","non-dropping-particle":"","parse-names":false,"suffix":""},{"dropping-particle":"","family":"Hou","given":"Lifang","non-dropping-particle":"","parse-names":false,"suffix":""},{"dropping-particle":"","family":"Baccarelli","given":"Andrea A.","non-dropping-particle":"","parse-names":false,"suffix":""},{"dropping-particle":"","family":"Stewart","given":"James D.","non-dropping-particle":"","parse-names":false,"suffix":""},{"dropping-particle":"","family":"Li","given":"Yun","non-dropping-particle":"","parse-names":false,"suffix":""},{"dropping-particle":"","family":"Whitsel","given":"Eric A.","non-dropping-particle":"","parse-names":false,"suffix":""},{"dropping-particle":"","family":"Wilson","given":"James G.","non-dropping-particle":"","parse-names":false,"suffix":""},{"dropping-particle":"","family":"Reiner1","given":"Alex P.","non-dropping-particle":"","parse-names":false,"suffix":""},{"dropping-particle":"","family":"Aviv1","given":"Abraham","non-dropping-particle":"","parse-names":false,"suffix":""},{"dropping-particle":"","family":"Lohman","given":"Kurt","non-dropping-particle":"","parse-names":false,"suffix":""},{"dropping-particle":"","family":"Liu","given":"Yongmei","non-dropping-particle":"","parse-names":false,"suffix":""},{"dropping-particle":"","family":"Ferrucci","given":"Luigi","non-dropping-particle":"","parse-names":false,"suffix":""},{"dropping-particle":"","family":"Horvath","given":"Steve","non-dropping-particle":"","parse-names":false,"suffix":""}],"container-title":"Aging","id":"ITEM-1","issue":"4","issued":{"date-parts":[["2018"]]},"page":"573-591","title":"An epigenetic biomarker of aging for lifespan and healthspan","type":"article-journal","volume":"10"},"uris":["http://www.mendeley.com/documents/?uuid=a7d91289-42fe-4f54-bc6c-d885bbe9739a"]}],"mendeley":{"formattedCitation":"(Levine &lt;i&gt;et al.&lt;/i&gt; 2018)","plainTextFormattedCitation":"(Levine et al. 2018)","previouslyFormattedCitation":"(Levine &lt;i&gt;et al.&lt;/i&gt; 2018)"},"properties":{"noteIndex":0},"schema":"https://github.com/citation-style-language/schema/raw/master/csl-citation.json"}</w:instrText>
      </w:r>
      <w:r w:rsidR="001752C4" w:rsidRPr="009A0738">
        <w:rPr>
          <w:rFonts w:ascii="Kaiti SC Regular" w:eastAsia="Kaiti SC Regular" w:hAnsi="Kaiti SC Regular"/>
          <w:sz w:val="20"/>
          <w:szCs w:val="20"/>
        </w:rPr>
        <w:fldChar w:fldCharType="separate"/>
      </w:r>
      <w:r w:rsidR="001752C4" w:rsidRPr="009A0738">
        <w:rPr>
          <w:rFonts w:ascii="Kaiti SC Regular" w:eastAsia="Kaiti SC Regular" w:hAnsi="Kaiti SC Regular"/>
          <w:noProof/>
          <w:sz w:val="20"/>
          <w:szCs w:val="20"/>
        </w:rPr>
        <w:t xml:space="preserve">(Levine </w:t>
      </w:r>
      <w:r w:rsidR="001752C4" w:rsidRPr="009A0738">
        <w:rPr>
          <w:rFonts w:ascii="Kaiti SC Regular" w:eastAsia="Kaiti SC Regular" w:hAnsi="Kaiti SC Regular"/>
          <w:i/>
          <w:noProof/>
          <w:sz w:val="20"/>
          <w:szCs w:val="20"/>
        </w:rPr>
        <w:t>et al.</w:t>
      </w:r>
      <w:r w:rsidR="001752C4" w:rsidRPr="009A0738">
        <w:rPr>
          <w:rFonts w:ascii="Kaiti SC Regular" w:eastAsia="Kaiti SC Regular" w:hAnsi="Kaiti SC Regular"/>
          <w:noProof/>
          <w:sz w:val="20"/>
          <w:szCs w:val="20"/>
        </w:rPr>
        <w:t xml:space="preserve"> 2018)</w:t>
      </w:r>
      <w:r w:rsidR="001752C4" w:rsidRPr="009A0738">
        <w:rPr>
          <w:rFonts w:ascii="Kaiti SC Regular" w:eastAsia="Kaiti SC Regular" w:hAnsi="Kaiti SC Regular"/>
          <w:sz w:val="20"/>
          <w:szCs w:val="20"/>
        </w:rPr>
        <w:fldChar w:fldCharType="end"/>
      </w:r>
      <w:r w:rsidR="00D26366">
        <w:rPr>
          <w:rFonts w:ascii="Kaiti SC Regular" w:eastAsia="Kaiti SC Regular" w:hAnsi="Kaiti SC Regular" w:hint="eastAsia"/>
          <w:sz w:val="20"/>
          <w:szCs w:val="20"/>
        </w:rPr>
        <w:t>，以及跟个人</w:t>
      </w:r>
      <w:r w:rsidR="001752C4" w:rsidRPr="009A0738">
        <w:rPr>
          <w:rFonts w:ascii="Kaiti SC Regular" w:eastAsia="Kaiti SC Regular" w:hAnsi="Kaiti SC Regular" w:hint="eastAsia"/>
          <w:sz w:val="20"/>
          <w:szCs w:val="20"/>
        </w:rPr>
        <w:t>生活历也有关系。</w:t>
      </w:r>
    </w:p>
    <w:p w14:paraId="099EC43C" w14:textId="77777777" w:rsidR="00D26366" w:rsidRDefault="00D26366" w:rsidP="00371BD7">
      <w:pPr>
        <w:rPr>
          <w:rFonts w:ascii="Kaiti SC Regular" w:eastAsia="Kaiti SC Regular" w:hAnsi="Kaiti SC Regular"/>
          <w:sz w:val="20"/>
          <w:szCs w:val="20"/>
        </w:rPr>
      </w:pPr>
    </w:p>
    <w:p w14:paraId="063A43CC" w14:textId="78064EA6" w:rsidR="002A377E" w:rsidRPr="009A0738" w:rsidRDefault="001752C4" w:rsidP="00371BD7">
      <w:pPr>
        <w:rPr>
          <w:rFonts w:ascii="Kaiti SC Regular" w:eastAsia="Kaiti SC Regular" w:hAnsi="Kaiti SC Regular" w:cs="Times New Roman"/>
          <w:sz w:val="20"/>
          <w:szCs w:val="20"/>
          <w:lang w:eastAsia="en-US"/>
        </w:rPr>
      </w:pPr>
      <w:r w:rsidRPr="009A0738">
        <w:rPr>
          <w:rFonts w:ascii="Kaiti SC Regular" w:eastAsia="Kaiti SC Regular" w:hAnsi="Kaiti SC Regular" w:hint="eastAsia"/>
          <w:sz w:val="20"/>
          <w:szCs w:val="20"/>
        </w:rPr>
        <w:t>最近Steve Horvath的Nature Reviews Genetics更进一步总结了甲基化在研究进展</w:t>
      </w:r>
      <w:r w:rsidRPr="009A0738">
        <w:rPr>
          <w:rFonts w:ascii="Kaiti SC Regular" w:eastAsia="Kaiti SC Regular" w:hAnsi="Kaiti SC Regular"/>
          <w:sz w:val="20"/>
          <w:szCs w:val="20"/>
        </w:rPr>
        <w:fldChar w:fldCharType="begin" w:fldLock="1"/>
      </w:r>
      <w:r w:rsidRPr="009A0738">
        <w:rPr>
          <w:rFonts w:ascii="Kaiti SC Regular" w:eastAsia="Kaiti SC Regular" w:hAnsi="Kaiti SC Regular"/>
          <w:sz w:val="20"/>
          <w:szCs w:val="20"/>
        </w:rPr>
        <w:instrText>ADDIN CSL_CITATION {"citationItems":[{"id":"ITEM-1","itemData":{"DOI":"10.1038/s41576-018-0004-3","ISBN":"1471-0064","ISSN":"14710064","PMID":"29643443","abstract":"Identifying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age?","author":[{"dropping-particle":"","family":"Horvath","given":"Steve","non-dropping-particle":"","parse-names":false,"suffix":""},{"dropping-particle":"","family":"Raj","given":"Kenneth","non-dropping-particle":"","parse-names":false,"suffix":""}],"container-title":"Nature Reviews Genetics","id":"ITEM-1","issue":"6","issued":{"date-parts":[["2018"]]},"page":"371-384","publisher":"Springer US","title":"DNA methylation-based biomarkers and the epigenetic clock theory of ageing","type":"article-journal","volume":"19"},"uris":["http://www.mendeley.com/documents/?uuid=e5b761fe-6c29-43c9-95a0-1f33bd439b1c"]}],"mendeley":{"formattedCitation":"(Horvath and Raj 2018)","plainTextFormattedCitation":"(Horvath and Raj 2018)","previouslyFormattedCitation":"(Horvath and Raj 2018)"},"properties":{"noteIndex":0},"schema":"https://github.com/citation-style-language/schema/raw/master/csl-citation.json"}</w:instrText>
      </w:r>
      <w:r w:rsidRPr="009A0738">
        <w:rPr>
          <w:rFonts w:ascii="Kaiti SC Regular" w:eastAsia="Kaiti SC Regular" w:hAnsi="Kaiti SC Regular"/>
          <w:sz w:val="20"/>
          <w:szCs w:val="20"/>
        </w:rPr>
        <w:fldChar w:fldCharType="separate"/>
      </w:r>
      <w:r w:rsidRPr="009A0738">
        <w:rPr>
          <w:rFonts w:ascii="Kaiti SC Regular" w:eastAsia="Kaiti SC Regular" w:hAnsi="Kaiti SC Regular"/>
          <w:noProof/>
          <w:sz w:val="20"/>
          <w:szCs w:val="20"/>
        </w:rPr>
        <w:t>(Horvath and Raj 2018)</w:t>
      </w:r>
      <w:r w:rsidRPr="009A0738">
        <w:rPr>
          <w:rFonts w:ascii="Kaiti SC Regular" w:eastAsia="Kaiti SC Regular" w:hAnsi="Kaiti SC Regular"/>
          <w:sz w:val="20"/>
          <w:szCs w:val="20"/>
        </w:rPr>
        <w:fldChar w:fldCharType="end"/>
      </w:r>
      <w:r w:rsidRPr="009A0738">
        <w:rPr>
          <w:rFonts w:ascii="Kaiti SC Regular" w:eastAsia="Kaiti SC Regular" w:hAnsi="Kaiti SC Regular" w:hint="eastAsia"/>
          <w:sz w:val="20"/>
          <w:szCs w:val="20"/>
        </w:rPr>
        <w:t>。</w:t>
      </w:r>
      <w:r w:rsidR="00D26366" w:rsidRPr="009A0738">
        <w:rPr>
          <w:rFonts w:ascii="Kaiti SC Regular" w:eastAsia="Kaiti SC Regular" w:hAnsi="Kaiti SC Regular" w:cs="Times New Roman" w:hint="eastAsia"/>
          <w:sz w:val="20"/>
          <w:szCs w:val="20"/>
          <w:lang w:eastAsia="en-US"/>
        </w:rPr>
        <w:t xml:space="preserve"> </w:t>
      </w:r>
    </w:p>
    <w:p w14:paraId="4BC957CD" w14:textId="77777777" w:rsidR="002A377E" w:rsidRPr="002A377E" w:rsidRDefault="002A377E" w:rsidP="00371BD7">
      <w:pPr>
        <w:rPr>
          <w:rFonts w:ascii="Kaiti SC Regular" w:eastAsia="Kaiti SC Regular" w:hAnsi="Kaiti SC Regular"/>
        </w:rPr>
      </w:pPr>
    </w:p>
    <w:p w14:paraId="31A5C979" w14:textId="2661BC92" w:rsidR="001752C4" w:rsidRPr="002A377E" w:rsidRDefault="001752C4" w:rsidP="00371BD7">
      <w:pPr>
        <w:rPr>
          <w:rFonts w:ascii="Kaiti SC Regular" w:eastAsia="Kaiti SC Regular" w:hAnsi="Kaiti SC Regular"/>
        </w:rPr>
      </w:pPr>
      <w:r w:rsidRPr="00D26366">
        <w:rPr>
          <w:rFonts w:ascii="Kaiti SC Regular" w:eastAsia="Kaiti SC Regular" w:hAnsi="Kaiti SC Regular" w:hint="eastAsia"/>
          <w:highlight w:val="green"/>
        </w:rPr>
        <w:t>问：甲基化主要使用的分析包</w:t>
      </w:r>
    </w:p>
    <w:p w14:paraId="0E8BE5EA" w14:textId="1C75CC4D" w:rsidR="001752C4" w:rsidRDefault="001752C4" w:rsidP="00371BD7">
      <w:pPr>
        <w:rPr>
          <w:rFonts w:ascii="Kaiti SC Regular" w:eastAsia="Kaiti SC Regular" w:hAnsi="Kaiti SC Regular"/>
          <w:sz w:val="20"/>
          <w:szCs w:val="20"/>
        </w:rPr>
      </w:pPr>
      <w:r w:rsidRPr="009A0738">
        <w:rPr>
          <w:rFonts w:ascii="Kaiti SC Regular" w:eastAsia="Kaiti SC Regular" w:hAnsi="Kaiti SC Regular" w:hint="eastAsia"/>
          <w:sz w:val="20"/>
          <w:szCs w:val="20"/>
        </w:rPr>
        <w:t>答：甲基化目前只用最多的分析包是</w:t>
      </w:r>
      <w:proofErr w:type="spellStart"/>
      <w:r w:rsidR="002A377E" w:rsidRPr="009A0738">
        <w:rPr>
          <w:rFonts w:ascii="Kaiti SC Regular" w:eastAsia="Kaiti SC Regular" w:hAnsi="Kaiti SC Regular" w:hint="eastAsia"/>
          <w:sz w:val="20"/>
          <w:szCs w:val="20"/>
        </w:rPr>
        <w:t>minfi</w:t>
      </w:r>
      <w:proofErr w:type="spellEnd"/>
      <w:r w:rsidR="002A377E" w:rsidRPr="009A0738">
        <w:rPr>
          <w:rFonts w:ascii="Kaiti SC Regular" w:eastAsia="Kaiti SC Regular" w:hAnsi="Kaiti SC Regular"/>
          <w:sz w:val="20"/>
          <w:szCs w:val="20"/>
        </w:rPr>
        <w:fldChar w:fldCharType="begin" w:fldLock="1"/>
      </w:r>
      <w:r w:rsidR="002A377E" w:rsidRPr="009A0738">
        <w:rPr>
          <w:rFonts w:ascii="Kaiti SC Regular" w:eastAsia="Kaiti SC Regular" w:hAnsi="Kaiti SC Regular"/>
          <w:sz w:val="20"/>
          <w:szCs w:val="20"/>
        </w:rPr>
        <w:instrText xml:space="preserve">ADDIN CSL_CITATION {"citationItems":[{"id":"ITEM-1","itemData":{"DOI":"10.1093/bioinformatics/btu049","ISBN":"1367-4811 (Electronic) 1367-4803 (Linking)","ISSN":"14602059","PMID":"24478339","abstract":"MOTIVATION: The recently released Infinium HumanMethylation450 array (the '450k' array) provides a high-throughput assay to quantify DNA methylation (DNAm) at </w:instrText>
      </w:r>
      <w:r w:rsidR="002A377E" w:rsidRPr="009A0738">
        <w:rPr>
          <w:rFonts w:ascii="Kaiti SC Regular" w:eastAsia="Kaiti SC Regular" w:hAnsi="Kaiti SC Regular" w:cs="Monaco"/>
          <w:sz w:val="20"/>
          <w:szCs w:val="20"/>
        </w:rPr>
        <w:instrText>∼</w:instrText>
      </w:r>
      <w:r w:rsidR="002A377E" w:rsidRPr="009A0738">
        <w:rPr>
          <w:rFonts w:ascii="Kaiti SC Regular" w:eastAsia="Kaiti SC Regular" w:hAnsi="Kaiti SC Regular"/>
          <w:sz w:val="20"/>
          <w:szCs w:val="20"/>
        </w:rPr>
        <w:instrText>450 000 loci across a range of genomic features. Although less comprehensive than high-throughput sequencing-based techniques, this product is more cost-effective and promises to be the most widely used DNAm high-throughput measurement technology over the next several years.\\n\\nRESULTS: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methods.\\n\\nAVAILABILITY AND IMPLEMENTATION: http://bioconductor.org/packages/release/bioc/html/minfi.html.\\n\\nCONTACT: khansen@jhsph.edu; rafa@jimmy.harvard.edu\\n\\nSUPPLEMENTARY INFORMATION: Supplementary data are available at Bioinformatics online.","author":[{"dropping-particle":"","family":"Aryee","given":"Martin J.","non-dropping-particle":"","parse-names":false,"suffix":""},{"dropping-particle":"","family":"Jaffe","given":"Andrew E.","non-dropping-particle":"","parse-names":false,"suffix":""},{"dropping-particle":"","family":"Corrada-Bravo","given":"Hector","non-dropping-particle":"","parse-names":false,"suffix":""},{"dropping-particle":"","family":"Ladd-Acosta","given":"Christine","non-dropping-particle":"","parse-names":false,"suffix":""},{"dropping-particle":"","family":"Feinberg","given":"Andrew P.","non-dropping-particle":"","parse-names":false,"suffix":""},{"dropping-particle":"","family":"Hansen","given":"Kasper D.","non-dropping-particle":"","parse-names":false,"suffix":""},{"dropping-particle":"","family":"Irizarry","given":"Rafael A.","non-dropping-particle":"","parse-names":false,"suffix":""}],"container-title":"Bioinformatics","id":"ITEM-1","issue":"10","issued":{"date-parts":[["2014"]]},"page":"1363-1369","title":"Minfi: A flexible and comprehensive Bioconductor package for the analysis of Infinium DNA methylation microarrays","type":"article-journal","volume":"30"},"uris":["http://www.mendeley.com/documents/?uuid=7e10da63-b5c6-43bc-ac1e-eb43365d3bc8"]}],"mendeley":{"formattedCitation":"(Aryee &lt;i&gt;et al.&lt;/i&gt; 2014)","plainTextFormattedCitation":"(Aryee et al. 2014)","previouslyFormattedCitation":"(Aryee &lt;i&gt;et al.&lt;/i&gt; 2014)"},"properties":{"noteIndex":0},"schema":"https://github.com/citation-style-language/schema/raw/master/csl-citation.json"}</w:instrText>
      </w:r>
      <w:r w:rsidR="002A377E" w:rsidRPr="009A0738">
        <w:rPr>
          <w:rFonts w:ascii="Kaiti SC Regular" w:eastAsia="Kaiti SC Regular" w:hAnsi="Kaiti SC Regular"/>
          <w:sz w:val="20"/>
          <w:szCs w:val="20"/>
        </w:rPr>
        <w:fldChar w:fldCharType="separate"/>
      </w:r>
      <w:r w:rsidR="002A377E" w:rsidRPr="009A0738">
        <w:rPr>
          <w:rFonts w:ascii="Kaiti SC Regular" w:eastAsia="Kaiti SC Regular" w:hAnsi="Kaiti SC Regular"/>
          <w:noProof/>
          <w:sz w:val="20"/>
          <w:szCs w:val="20"/>
        </w:rPr>
        <w:t xml:space="preserve">(Aryee </w:t>
      </w:r>
      <w:r w:rsidR="002A377E" w:rsidRPr="009A0738">
        <w:rPr>
          <w:rFonts w:ascii="Kaiti SC Regular" w:eastAsia="Kaiti SC Regular" w:hAnsi="Kaiti SC Regular"/>
          <w:i/>
          <w:noProof/>
          <w:sz w:val="20"/>
          <w:szCs w:val="20"/>
        </w:rPr>
        <w:t>et al.</w:t>
      </w:r>
      <w:r w:rsidR="002A377E" w:rsidRPr="009A0738">
        <w:rPr>
          <w:rFonts w:ascii="Kaiti SC Regular" w:eastAsia="Kaiti SC Regular" w:hAnsi="Kaiti SC Regular"/>
          <w:noProof/>
          <w:sz w:val="20"/>
          <w:szCs w:val="20"/>
        </w:rPr>
        <w:t xml:space="preserve"> 2014)</w:t>
      </w:r>
      <w:r w:rsidR="002A377E" w:rsidRPr="009A0738">
        <w:rPr>
          <w:rFonts w:ascii="Kaiti SC Regular" w:eastAsia="Kaiti SC Regular" w:hAnsi="Kaiti SC Regular"/>
          <w:sz w:val="20"/>
          <w:szCs w:val="20"/>
        </w:rPr>
        <w:fldChar w:fldCharType="end"/>
      </w:r>
      <w:r w:rsidR="002A377E" w:rsidRPr="009A0738">
        <w:rPr>
          <w:rFonts w:ascii="Kaiti SC Regular" w:eastAsia="Kaiti SC Regular" w:hAnsi="Kaiti SC Regular" w:hint="eastAsia"/>
          <w:sz w:val="20"/>
          <w:szCs w:val="20"/>
        </w:rPr>
        <w:t>和</w:t>
      </w:r>
      <w:proofErr w:type="spellStart"/>
      <w:r w:rsidR="002A377E" w:rsidRPr="009A0738">
        <w:rPr>
          <w:rFonts w:ascii="Kaiti SC Regular" w:eastAsia="Kaiti SC Regular" w:hAnsi="Kaiti SC Regular" w:hint="eastAsia"/>
          <w:sz w:val="20"/>
          <w:szCs w:val="20"/>
        </w:rPr>
        <w:t>meffil</w:t>
      </w:r>
      <w:proofErr w:type="spellEnd"/>
      <w:r w:rsidR="002A377E" w:rsidRPr="009A0738">
        <w:rPr>
          <w:rFonts w:ascii="Kaiti SC Regular" w:eastAsia="Kaiti SC Regular" w:hAnsi="Kaiti SC Regular"/>
          <w:sz w:val="20"/>
          <w:szCs w:val="20"/>
        </w:rPr>
        <w:fldChar w:fldCharType="begin" w:fldLock="1"/>
      </w:r>
      <w:r w:rsidR="002A377E" w:rsidRPr="009A0738">
        <w:rPr>
          <w:rFonts w:ascii="Kaiti SC Regular" w:eastAsia="Kaiti SC Regular" w:hAnsi="Kaiti SC Regular"/>
          <w:sz w:val="20"/>
          <w:szCs w:val="20"/>
        </w:rPr>
        <w:instrText>ADDIN CSL_CITATION {"citationItems":[{"id":"ITEM-1","itemData":{"DOI":"10.1093/bioinformatics/bty476","ISSN":"1367-4803","PMID":"29931280","abstract":"Motivation DNA methylation datasets are growing ever larger both in sample size and genome coverage. Novel computational solutions are required to efficiently handle these data. Results We have developed meffil, an R package designed for efficient quality control, normalization and epigenome-wide association studies of large samples of Illumina Methylation BeadChip microarrays. A complete reimplementation of functional normalization minimizes computational memory without increasing running time. Incorporating fixed and random effects within functional normalization, and automated estimation of functional normalization parameters reduces technical variation in DNA methylation levels, thus reducing false positive rates and improving power. Support for normalization of datasets distributed across physically different locations without needing to share biologically-based individual-level data means that meffil can be used to reduce heterogeneity in meta-analyses of epigenome-wide association studies. Availability: https://github.com/perishky/meffil/. Supplementary information Supplementary data are available at Bioinformatics online.","author":[{"dropping-particle":"","family":"Min","given":"J L","non-dropping-particle":"","parse-names":false,"suffix":""},{"dropping-particle":"","family":"Hemani","given":"G","non-dropping-particle":"","parse-names":false,"suffix":""},{"dropping-particle":"","family":"Davey Smith","given":"G","non-dropping-particle":"","parse-names":false,"suffix":""},{"dropping-particle":"","family":"Relton","given":"C","non-dropping-particle":"","parse-names":false,"suffix":""},{"dropping-particle":"","family":"Suderman","given":"M","non-dropping-particle":"","parse-names":false,"suffix":""}],"container-title":"Bioinformatics","id":"ITEM-1","issue":"June","issued":{"date-parts":[["2018"]]},"page":"1-7","title":"Meffil: efficient normalization and analysis of very large DNA methylation datasets","type":"article-journal"},"uris":["http://www.mendeley.com/documents/?uuid=ed11994b-074e-4229-8d89-b96883d8c441"]}],"mendeley":{"formattedCitation":"(Min &lt;i&gt;et al.&lt;/i&gt; 2018)","plainTextFormattedCitation":"(Min et al. 2018)","previouslyFormattedCitation":"(Min &lt;i&gt;et al.&lt;/i&gt; 2018)"},"properties":{"noteIndex":0},"schema":"https://github.com/citation-style-language/schema/raw/master/csl-citation.json"}</w:instrText>
      </w:r>
      <w:r w:rsidR="002A377E" w:rsidRPr="009A0738">
        <w:rPr>
          <w:rFonts w:ascii="Kaiti SC Regular" w:eastAsia="Kaiti SC Regular" w:hAnsi="Kaiti SC Regular"/>
          <w:sz w:val="20"/>
          <w:szCs w:val="20"/>
        </w:rPr>
        <w:fldChar w:fldCharType="separate"/>
      </w:r>
      <w:r w:rsidR="002A377E" w:rsidRPr="009A0738">
        <w:rPr>
          <w:rFonts w:ascii="Kaiti SC Regular" w:eastAsia="Kaiti SC Regular" w:hAnsi="Kaiti SC Regular"/>
          <w:noProof/>
          <w:sz w:val="20"/>
          <w:szCs w:val="20"/>
        </w:rPr>
        <w:t xml:space="preserve">(Min </w:t>
      </w:r>
      <w:r w:rsidR="002A377E" w:rsidRPr="009A0738">
        <w:rPr>
          <w:rFonts w:ascii="Kaiti SC Regular" w:eastAsia="Kaiti SC Regular" w:hAnsi="Kaiti SC Regular"/>
          <w:i/>
          <w:noProof/>
          <w:sz w:val="20"/>
          <w:szCs w:val="20"/>
        </w:rPr>
        <w:t>et al.</w:t>
      </w:r>
      <w:r w:rsidR="002A377E" w:rsidRPr="009A0738">
        <w:rPr>
          <w:rFonts w:ascii="Kaiti SC Regular" w:eastAsia="Kaiti SC Regular" w:hAnsi="Kaiti SC Regular"/>
          <w:noProof/>
          <w:sz w:val="20"/>
          <w:szCs w:val="20"/>
        </w:rPr>
        <w:t xml:space="preserve"> 2018)</w:t>
      </w:r>
      <w:r w:rsidR="002A377E" w:rsidRPr="009A0738">
        <w:rPr>
          <w:rFonts w:ascii="Kaiti SC Regular" w:eastAsia="Kaiti SC Regular" w:hAnsi="Kaiti SC Regular"/>
          <w:sz w:val="20"/>
          <w:szCs w:val="20"/>
        </w:rPr>
        <w:fldChar w:fldCharType="end"/>
      </w:r>
      <w:r w:rsidR="009A0738">
        <w:rPr>
          <w:rFonts w:ascii="Kaiti SC Regular" w:eastAsia="Kaiti SC Regular" w:hAnsi="Kaiti SC Regular" w:hint="eastAsia"/>
          <w:sz w:val="20"/>
          <w:szCs w:val="20"/>
        </w:rPr>
        <w:t>。</w:t>
      </w:r>
    </w:p>
    <w:p w14:paraId="6E2B58FF" w14:textId="77777777" w:rsidR="009A0738" w:rsidRDefault="009A0738" w:rsidP="00371BD7">
      <w:pPr>
        <w:rPr>
          <w:rFonts w:ascii="Kaiti SC Regular" w:eastAsia="Kaiti SC Regular" w:hAnsi="Kaiti SC Regular"/>
          <w:sz w:val="20"/>
          <w:szCs w:val="20"/>
        </w:rPr>
      </w:pPr>
    </w:p>
    <w:p w14:paraId="57D9777C" w14:textId="77777777" w:rsidR="002A377E" w:rsidRPr="002A377E" w:rsidRDefault="002A377E" w:rsidP="00371BD7">
      <w:pPr>
        <w:rPr>
          <w:rFonts w:ascii="Kaiti SC Regular" w:eastAsia="Kaiti SC Regular" w:hAnsi="Kaiti SC Regular"/>
        </w:rPr>
      </w:pPr>
    </w:p>
    <w:p w14:paraId="549A7F91" w14:textId="57292F95" w:rsidR="002A377E" w:rsidRDefault="002A377E" w:rsidP="00371BD7">
      <w:r w:rsidRPr="002A377E">
        <w:rPr>
          <w:rFonts w:ascii="Kaiti SC Regular" w:eastAsia="Kaiti SC Regular" w:hAnsi="Kaiti SC Regular" w:hint="eastAsia"/>
        </w:rPr>
        <w:t>参考文献</w:t>
      </w:r>
    </w:p>
    <w:p w14:paraId="084F195F" w14:textId="65D3B958" w:rsidR="00D26366" w:rsidRPr="00D26366" w:rsidRDefault="002A377E" w:rsidP="00D26366">
      <w:pPr>
        <w:widowControl w:val="0"/>
        <w:autoSpaceDE w:val="0"/>
        <w:autoSpaceDN w:val="0"/>
        <w:adjustRightInd w:val="0"/>
        <w:ind w:left="480" w:hanging="480"/>
        <w:rPr>
          <w:rFonts w:ascii="Calibri" w:hAnsi="Calibri"/>
          <w:noProof/>
        </w:rPr>
      </w:pPr>
      <w:r>
        <w:fldChar w:fldCharType="begin" w:fldLock="1"/>
      </w:r>
      <w:r>
        <w:instrText xml:space="preserve">ADDIN Mendeley Bibliography CSL_BIBLIOGRAPHY </w:instrText>
      </w:r>
      <w:r>
        <w:fldChar w:fldCharType="separate"/>
      </w:r>
      <w:r w:rsidR="00D26366" w:rsidRPr="00D26366">
        <w:rPr>
          <w:rFonts w:ascii="Calibri" w:hAnsi="Calibri"/>
          <w:noProof/>
        </w:rPr>
        <w:t xml:space="preserve">Aryee M. J., Jaffe A. E., Corrada-Bravo H., Ladd-Acosta C., Feinberg A. P., Hansen K. D., Irizarry R. A., 2014 Minfi: A flexible and comprehensive Bioconductor package for the analysis of Infinium DNA methylation microarrays. Bioinformatics </w:t>
      </w:r>
      <w:r w:rsidR="00D26366" w:rsidRPr="00D26366">
        <w:rPr>
          <w:rFonts w:ascii="Calibri" w:hAnsi="Calibri"/>
          <w:b/>
          <w:bCs/>
          <w:noProof/>
        </w:rPr>
        <w:t>30</w:t>
      </w:r>
      <w:r w:rsidR="00D26366" w:rsidRPr="00D26366">
        <w:rPr>
          <w:rFonts w:ascii="Calibri" w:hAnsi="Calibri"/>
          <w:noProof/>
        </w:rPr>
        <w:t>: 1363–1369.</w:t>
      </w:r>
    </w:p>
    <w:p w14:paraId="5D8D074F"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Bibikova M., Le J., Barnes B., Saedinia-Melnyk S., Zhou L., Shen R., Gunderson K. L., 2009 Genome-wide DNA methylation profiling using Infinium@ assay. Epigenomics </w:t>
      </w:r>
      <w:r w:rsidRPr="00D26366">
        <w:rPr>
          <w:rFonts w:ascii="Calibri" w:hAnsi="Calibri"/>
          <w:b/>
          <w:bCs/>
          <w:noProof/>
        </w:rPr>
        <w:t>1</w:t>
      </w:r>
      <w:r w:rsidRPr="00D26366">
        <w:rPr>
          <w:rFonts w:ascii="Calibri" w:hAnsi="Calibri"/>
          <w:noProof/>
        </w:rPr>
        <w:t>: 177–200.</w:t>
      </w:r>
    </w:p>
    <w:p w14:paraId="065E4B94"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Bibikova M., Barnes B., Tsan C., Ho V., Klotzle B., Le J. M., Delano D., Zhang L., Schroth G. P., Gunderson K. L., Fan J. B., Shen R., 2011 High density DNA methylation array with single CpG site resolution. Genomics </w:t>
      </w:r>
      <w:r w:rsidRPr="00D26366">
        <w:rPr>
          <w:rFonts w:ascii="Calibri" w:hAnsi="Calibri"/>
          <w:b/>
          <w:bCs/>
          <w:noProof/>
        </w:rPr>
        <w:t>98</w:t>
      </w:r>
      <w:r w:rsidRPr="00D26366">
        <w:rPr>
          <w:rFonts w:ascii="Calibri" w:hAnsi="Calibri"/>
          <w:noProof/>
        </w:rPr>
        <w:t>: 288–295.</w:t>
      </w:r>
    </w:p>
    <w:p w14:paraId="6A861320"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Chen Y., Choufani S., Ferreira J. C., Grafodatskaya D., Butcher D. T., Weksberg R., 2011 Sequence overlap between autosomal and sex-linked probes on the Illumina HumanMethylation27 microarray. Genomics </w:t>
      </w:r>
      <w:r w:rsidRPr="00D26366">
        <w:rPr>
          <w:rFonts w:ascii="Calibri" w:hAnsi="Calibri"/>
          <w:b/>
          <w:bCs/>
          <w:noProof/>
        </w:rPr>
        <w:t>97</w:t>
      </w:r>
      <w:r w:rsidRPr="00D26366">
        <w:rPr>
          <w:rFonts w:ascii="Calibri" w:hAnsi="Calibri"/>
          <w:noProof/>
        </w:rPr>
        <w:t>: 214–222.</w:t>
      </w:r>
    </w:p>
    <w:p w14:paraId="3498B2D4"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Dedeurwaerder S., Defrance M., Calonne E., Denis H., Sotiriou C., Fuks F., 2011 Evaluation of the Infinium Methylation 450K technology. Epigenomics </w:t>
      </w:r>
      <w:r w:rsidRPr="00D26366">
        <w:rPr>
          <w:rFonts w:ascii="Calibri" w:hAnsi="Calibri"/>
          <w:b/>
          <w:bCs/>
          <w:noProof/>
        </w:rPr>
        <w:t>3</w:t>
      </w:r>
      <w:r w:rsidRPr="00D26366">
        <w:rPr>
          <w:rFonts w:ascii="Calibri" w:hAnsi="Calibri"/>
          <w:noProof/>
        </w:rPr>
        <w:t>: 771–784.</w:t>
      </w:r>
    </w:p>
    <w:p w14:paraId="611140B0"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Horvath S., 2013 DNA methylation age of human tissues and cell types. Genome Biol. </w:t>
      </w:r>
      <w:r w:rsidRPr="00D26366">
        <w:rPr>
          <w:rFonts w:ascii="Calibri" w:hAnsi="Calibri"/>
          <w:b/>
          <w:bCs/>
          <w:noProof/>
        </w:rPr>
        <w:t>14</w:t>
      </w:r>
      <w:r w:rsidRPr="00D26366">
        <w:rPr>
          <w:rFonts w:ascii="Calibri" w:hAnsi="Calibri"/>
          <w:noProof/>
        </w:rPr>
        <w:t>: R115.</w:t>
      </w:r>
    </w:p>
    <w:p w14:paraId="6DEB7953"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Horvath S., Erhart W., Brosch M., Ammerpohl O., Schönfels W. Von, Ahrens M., Heits N., Bell J. T., Tsai P. C., Spector T. D., Deloukas P., Siebert R., Sipos B., Becker T., Röcken C., Schafmayer C., Hampe J., 2014 Obesity accelerates epigenetic aging of human liver. Proc. Natl. Acad. Sci. U. S. A. </w:t>
      </w:r>
      <w:r w:rsidRPr="00D26366">
        <w:rPr>
          <w:rFonts w:ascii="Calibri" w:hAnsi="Calibri"/>
          <w:b/>
          <w:bCs/>
          <w:noProof/>
        </w:rPr>
        <w:t>111</w:t>
      </w:r>
      <w:r w:rsidRPr="00D26366">
        <w:rPr>
          <w:rFonts w:ascii="Calibri" w:hAnsi="Calibri"/>
          <w:noProof/>
        </w:rPr>
        <w:t>: 15538–15543.</w:t>
      </w:r>
    </w:p>
    <w:p w14:paraId="7D9A59BD"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Horvath S., Garagnani P., Bacalini M. G., Pirazzini C., Salvioli S., Gentilini D., Blasio A. M. Di, Giuliani C., Tung S., Vinters H. V., Franceschi C., 2015 Accelerated epigenetic aging in Down syndrome. Aging Cell </w:t>
      </w:r>
      <w:r w:rsidRPr="00D26366">
        <w:rPr>
          <w:rFonts w:ascii="Calibri" w:hAnsi="Calibri"/>
          <w:b/>
          <w:bCs/>
          <w:noProof/>
        </w:rPr>
        <w:t>14</w:t>
      </w:r>
      <w:r w:rsidRPr="00D26366">
        <w:rPr>
          <w:rFonts w:ascii="Calibri" w:hAnsi="Calibri"/>
          <w:noProof/>
        </w:rPr>
        <w:t>: 491–495.</w:t>
      </w:r>
    </w:p>
    <w:p w14:paraId="257199C7"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Horvath S., Gurven M., Levine M. E., Trumble B. C., Kaplan H., Allayee H., Ritz B. R., Chen B., Lu A. T., Rickabaugh T. M., Jamieson B. D., Sun D., Li S., Chen W., Quintana-Murci L., Fagny M., Kobor M. S., Tsao P. S., Reiner A. P., Edlefsen K. L., Absher D., Assimes T. L., 2016 An epigenetic clock analysis of race/ethnicity, sex, and coronary heart disease. Genome Biol. </w:t>
      </w:r>
      <w:r w:rsidRPr="00D26366">
        <w:rPr>
          <w:rFonts w:ascii="Calibri" w:hAnsi="Calibri"/>
          <w:b/>
          <w:bCs/>
          <w:noProof/>
        </w:rPr>
        <w:t>17</w:t>
      </w:r>
      <w:r w:rsidRPr="00D26366">
        <w:rPr>
          <w:rFonts w:ascii="Calibri" w:hAnsi="Calibri"/>
          <w:noProof/>
        </w:rPr>
        <w:t>: 0–22.</w:t>
      </w:r>
    </w:p>
    <w:p w14:paraId="12253359"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Horvath S., Raj K., 2018 DNA methylation-based biomarkers and the epigenetic clock theory of ageing. Nat. Rev. Genet. </w:t>
      </w:r>
      <w:r w:rsidRPr="00D26366">
        <w:rPr>
          <w:rFonts w:ascii="Calibri" w:hAnsi="Calibri"/>
          <w:b/>
          <w:bCs/>
          <w:noProof/>
        </w:rPr>
        <w:t>19</w:t>
      </w:r>
      <w:r w:rsidRPr="00D26366">
        <w:rPr>
          <w:rFonts w:ascii="Calibri" w:hAnsi="Calibri"/>
          <w:noProof/>
        </w:rPr>
        <w:t>: 371–384.</w:t>
      </w:r>
    </w:p>
    <w:p w14:paraId="382F9ED2"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Kent W. J., 2002 BLAT — The BLAST-Like Alignment Tool. Genome Res. </w:t>
      </w:r>
      <w:r w:rsidRPr="00D26366">
        <w:rPr>
          <w:rFonts w:ascii="Calibri" w:hAnsi="Calibri"/>
          <w:b/>
          <w:bCs/>
          <w:noProof/>
        </w:rPr>
        <w:t>12</w:t>
      </w:r>
      <w:r w:rsidRPr="00D26366">
        <w:rPr>
          <w:rFonts w:ascii="Calibri" w:hAnsi="Calibri"/>
          <w:noProof/>
        </w:rPr>
        <w:t>: 656–664.</w:t>
      </w:r>
    </w:p>
    <w:p w14:paraId="15ECAEB1"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Laird P. W., 2010 Principles and challenges of genome-wide DNA methylation analysis. Nat. Rev. Genet. </w:t>
      </w:r>
      <w:r w:rsidRPr="00D26366">
        <w:rPr>
          <w:rFonts w:ascii="Calibri" w:hAnsi="Calibri"/>
          <w:b/>
          <w:bCs/>
          <w:noProof/>
        </w:rPr>
        <w:t>11</w:t>
      </w:r>
      <w:r w:rsidRPr="00D26366">
        <w:rPr>
          <w:rFonts w:ascii="Calibri" w:hAnsi="Calibri"/>
          <w:noProof/>
        </w:rPr>
        <w:t>: 191–203.</w:t>
      </w:r>
    </w:p>
    <w:p w14:paraId="33F66BF5"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lastRenderedPageBreak/>
        <w:t xml:space="preserve">Lehne B., Drong A. W., Loh M., Zhang W., Scott W. R., Tan S. T., Afzal U., Scott J., Jarvelin M. R., Elliott P., McCarthy M. I., Kooner J. S., Chambers J. C., 2015 A coherent approach for analysis of the Illumina HumanMethylation450 BeadChip improves data quality and performance in epigenome-wide association studies. Genome Biol. </w:t>
      </w:r>
      <w:r w:rsidRPr="00D26366">
        <w:rPr>
          <w:rFonts w:ascii="Calibri" w:hAnsi="Calibri"/>
          <w:b/>
          <w:bCs/>
          <w:noProof/>
        </w:rPr>
        <w:t>16</w:t>
      </w:r>
      <w:r w:rsidRPr="00D26366">
        <w:rPr>
          <w:rFonts w:ascii="Calibri" w:hAnsi="Calibri"/>
          <w:noProof/>
        </w:rPr>
        <w:t>: 37.</w:t>
      </w:r>
    </w:p>
    <w:p w14:paraId="0F985D90"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Levine M. E., Lu A. T., Quach A., Chen B. H., Assimes T. L., Bandinelli S., Hou L., Baccarelli A. A., Stewart J. D., Li Y., Whitsel E. A., Wilson J. G., Reiner1 A. P., Aviv1 A., Lohman K., Liu Y., Ferrucci L., Horvath S., 2018 An epigenetic biomarker of aging for lifespan and healthspan. Aging </w:t>
      </w:r>
      <w:r w:rsidRPr="00D26366">
        <w:rPr>
          <w:rFonts w:ascii="Calibri" w:hAnsi="Calibri"/>
          <w:b/>
          <w:bCs/>
          <w:noProof/>
        </w:rPr>
        <w:t>10</w:t>
      </w:r>
      <w:r w:rsidRPr="00D26366">
        <w:rPr>
          <w:rFonts w:ascii="Calibri" w:hAnsi="Calibri"/>
          <w:noProof/>
        </w:rPr>
        <w:t>: 573–591.</w:t>
      </w:r>
    </w:p>
    <w:p w14:paraId="634A22B2"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Min J. L., Hemani G., Davey Smith G., Relton C., Suderman M., 2018 Meffil: efficient normalization and analysis of very large DNA methylation datasets. Bioinformatics: 1–7.</w:t>
      </w:r>
    </w:p>
    <w:p w14:paraId="2E21E826" w14:textId="77777777" w:rsidR="00D26366" w:rsidRPr="00D26366" w:rsidRDefault="00D26366" w:rsidP="00D26366">
      <w:pPr>
        <w:widowControl w:val="0"/>
        <w:autoSpaceDE w:val="0"/>
        <w:autoSpaceDN w:val="0"/>
        <w:adjustRightInd w:val="0"/>
        <w:ind w:left="480" w:hanging="480"/>
        <w:rPr>
          <w:rFonts w:ascii="Calibri" w:hAnsi="Calibri"/>
          <w:noProof/>
        </w:rPr>
      </w:pPr>
      <w:r w:rsidRPr="00D26366">
        <w:rPr>
          <w:rFonts w:ascii="Calibri" w:hAnsi="Calibri"/>
          <w:noProof/>
        </w:rPr>
        <w:t xml:space="preserve">Quach A., Levine M. E., Tanaka T., Lu A. T., Chen B. H., Ferrucci L., Ritz B., Bandinelli S., Neuhouser M. L., Beasley J. M., Snetselaar L., Wallace R. B., Tsao P. S., Absher D., Assimes T. L., Stewart J. D., Li Y., Hou L., Baccarelli A. A., Whitsel E. A., Horvath S., 2017 Epigenetic clock analysis of diet, exercise, education, and lifestyle factors. Aging </w:t>
      </w:r>
      <w:r w:rsidRPr="00D26366">
        <w:rPr>
          <w:rFonts w:ascii="Calibri" w:hAnsi="Calibri"/>
          <w:b/>
          <w:bCs/>
          <w:noProof/>
        </w:rPr>
        <w:t>9</w:t>
      </w:r>
      <w:r w:rsidRPr="00D26366">
        <w:rPr>
          <w:rFonts w:ascii="Calibri" w:hAnsi="Calibri"/>
          <w:noProof/>
        </w:rPr>
        <w:t>: 419–446.</w:t>
      </w:r>
    </w:p>
    <w:p w14:paraId="4CC9A5C4" w14:textId="301AFB62" w:rsidR="002A377E" w:rsidRDefault="002A377E" w:rsidP="00D26366">
      <w:pPr>
        <w:widowControl w:val="0"/>
        <w:autoSpaceDE w:val="0"/>
        <w:autoSpaceDN w:val="0"/>
        <w:adjustRightInd w:val="0"/>
        <w:ind w:left="480" w:hanging="480"/>
      </w:pPr>
      <w:r>
        <w:fldChar w:fldCharType="end"/>
      </w:r>
    </w:p>
    <w:sectPr w:rsidR="002A377E" w:rsidSect="002A377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Kaiti SC Regular">
    <w:panose1 w:val="02010600040101010101"/>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华文楷体">
    <w:charset w:val="50"/>
    <w:family w:val="auto"/>
    <w:pitch w:val="variable"/>
    <w:sig w:usb0="80000287" w:usb1="280F3C52" w:usb2="00000016" w:usb3="00000000" w:csb0="0004001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6DCC"/>
    <w:multiLevelType w:val="hybridMultilevel"/>
    <w:tmpl w:val="B3544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BD7"/>
    <w:rsid w:val="000162F3"/>
    <w:rsid w:val="000A0B98"/>
    <w:rsid w:val="00156FAF"/>
    <w:rsid w:val="001752C4"/>
    <w:rsid w:val="002A377E"/>
    <w:rsid w:val="00371BD7"/>
    <w:rsid w:val="009A0738"/>
    <w:rsid w:val="00A34B70"/>
    <w:rsid w:val="00D26366"/>
    <w:rsid w:val="00F54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FB1A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D7"/>
    <w:pPr>
      <w:ind w:left="720"/>
      <w:contextualSpacing/>
    </w:pPr>
  </w:style>
  <w:style w:type="character" w:styleId="Hyperlink">
    <w:name w:val="Hyperlink"/>
    <w:basedOn w:val="DefaultParagraphFont"/>
    <w:uiPriority w:val="99"/>
    <w:semiHidden/>
    <w:unhideWhenUsed/>
    <w:rsid w:val="002A377E"/>
    <w:rPr>
      <w:color w:val="0000FF"/>
      <w:u w:val="single"/>
    </w:rPr>
  </w:style>
  <w:style w:type="paragraph" w:styleId="NormalWeb">
    <w:name w:val="Normal (Web)"/>
    <w:basedOn w:val="Normal"/>
    <w:uiPriority w:val="99"/>
    <w:semiHidden/>
    <w:unhideWhenUsed/>
    <w:rsid w:val="009A0738"/>
    <w:pPr>
      <w:spacing w:before="100" w:beforeAutospacing="1" w:after="100" w:afterAutospacing="1"/>
    </w:pPr>
    <w:rPr>
      <w:rFonts w:ascii="Times New Roman" w:hAnsi="Times New Roman" w:cs="Times New Roman"/>
      <w:sz w:val="20"/>
      <w:szCs w:val="20"/>
      <w:lang w:eastAsia="en-US"/>
    </w:rPr>
  </w:style>
  <w:style w:type="character" w:styleId="Strong">
    <w:name w:val="Strong"/>
    <w:basedOn w:val="DefaultParagraphFont"/>
    <w:uiPriority w:val="22"/>
    <w:qFormat/>
    <w:rsid w:val="009A0738"/>
    <w:rPr>
      <w:b/>
      <w:bCs/>
    </w:rPr>
  </w:style>
  <w:style w:type="character" w:customStyle="1" w:styleId="mn">
    <w:name w:val="mn"/>
    <w:basedOn w:val="DefaultParagraphFont"/>
    <w:rsid w:val="009A0738"/>
  </w:style>
  <w:style w:type="character" w:customStyle="1" w:styleId="mo">
    <w:name w:val="mo"/>
    <w:basedOn w:val="DefaultParagraphFont"/>
    <w:rsid w:val="009A0738"/>
  </w:style>
  <w:style w:type="paragraph" w:styleId="BalloonText">
    <w:name w:val="Balloon Text"/>
    <w:basedOn w:val="Normal"/>
    <w:link w:val="BalloonTextChar"/>
    <w:uiPriority w:val="99"/>
    <w:semiHidden/>
    <w:unhideWhenUsed/>
    <w:rsid w:val="009A0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BD7"/>
    <w:pPr>
      <w:ind w:left="720"/>
      <w:contextualSpacing/>
    </w:pPr>
  </w:style>
  <w:style w:type="character" w:styleId="Hyperlink">
    <w:name w:val="Hyperlink"/>
    <w:basedOn w:val="DefaultParagraphFont"/>
    <w:uiPriority w:val="99"/>
    <w:semiHidden/>
    <w:unhideWhenUsed/>
    <w:rsid w:val="002A377E"/>
    <w:rPr>
      <w:color w:val="0000FF"/>
      <w:u w:val="single"/>
    </w:rPr>
  </w:style>
  <w:style w:type="paragraph" w:styleId="NormalWeb">
    <w:name w:val="Normal (Web)"/>
    <w:basedOn w:val="Normal"/>
    <w:uiPriority w:val="99"/>
    <w:semiHidden/>
    <w:unhideWhenUsed/>
    <w:rsid w:val="009A0738"/>
    <w:pPr>
      <w:spacing w:before="100" w:beforeAutospacing="1" w:after="100" w:afterAutospacing="1"/>
    </w:pPr>
    <w:rPr>
      <w:rFonts w:ascii="Times New Roman" w:hAnsi="Times New Roman" w:cs="Times New Roman"/>
      <w:sz w:val="20"/>
      <w:szCs w:val="20"/>
      <w:lang w:eastAsia="en-US"/>
    </w:rPr>
  </w:style>
  <w:style w:type="character" w:styleId="Strong">
    <w:name w:val="Strong"/>
    <w:basedOn w:val="DefaultParagraphFont"/>
    <w:uiPriority w:val="22"/>
    <w:qFormat/>
    <w:rsid w:val="009A0738"/>
    <w:rPr>
      <w:b/>
      <w:bCs/>
    </w:rPr>
  </w:style>
  <w:style w:type="character" w:customStyle="1" w:styleId="mn">
    <w:name w:val="mn"/>
    <w:basedOn w:val="DefaultParagraphFont"/>
    <w:rsid w:val="009A0738"/>
  </w:style>
  <w:style w:type="character" w:customStyle="1" w:styleId="mo">
    <w:name w:val="mo"/>
    <w:basedOn w:val="DefaultParagraphFont"/>
    <w:rsid w:val="009A0738"/>
  </w:style>
  <w:style w:type="paragraph" w:styleId="BalloonText">
    <w:name w:val="Balloon Text"/>
    <w:basedOn w:val="Normal"/>
    <w:link w:val="BalloonTextChar"/>
    <w:uiPriority w:val="99"/>
    <w:semiHidden/>
    <w:unhideWhenUsed/>
    <w:rsid w:val="009A0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7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n.wikipedia.org/wiki/Epigenetic_c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272FC-E552-1645-97F9-C5C23A10F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10742</Words>
  <Characters>61236</Characters>
  <Application>Microsoft Macintosh Word</Application>
  <DocSecurity>0</DocSecurity>
  <Lines>510</Lines>
  <Paragraphs>143</Paragraphs>
  <ScaleCrop>false</ScaleCrop>
  <Company/>
  <LinksUpToDate>false</LinksUpToDate>
  <CharactersWithSpaces>71835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HangJin Jiang</dc:creator>
  <cp:keywords/>
  <dc:description/>
  <cp:lastModifiedBy>Guo-Bo Chen</cp:lastModifiedBy>
  <cp:revision>2</cp:revision>
  <dcterms:created xsi:type="dcterms:W3CDTF">2019-09-05T06:57:00Z</dcterms:created>
  <dcterms:modified xsi:type="dcterms:W3CDTF">2019-09-05T06:57:00Z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