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13A98" w14:textId="77777777" w:rsidR="0051213A" w:rsidRPr="0051213A" w:rsidRDefault="0051213A" w:rsidP="0051213A">
      <w:pPr>
        <w:jc w:val="center"/>
        <w:rPr>
          <w:b/>
        </w:rPr>
      </w:pPr>
      <w:r w:rsidRPr="0051213A">
        <w:rPr>
          <w:b/>
        </w:rPr>
        <w:t xml:space="preserve">Simulation for a pair of </w:t>
      </w:r>
      <w:proofErr w:type="spellStart"/>
      <w:r w:rsidRPr="0051213A">
        <w:rPr>
          <w:b/>
        </w:rPr>
        <w:t>biallelic</w:t>
      </w:r>
      <w:proofErr w:type="spellEnd"/>
      <w:r w:rsidRPr="0051213A">
        <w:rPr>
          <w:b/>
        </w:rPr>
        <w:t xml:space="preserve"> Loci in LD</w:t>
      </w:r>
    </w:p>
    <w:p w14:paraId="7C519250" w14:textId="77777777" w:rsidR="0051213A" w:rsidRPr="0051213A" w:rsidRDefault="0051213A" w:rsidP="0051213A">
      <w:pPr>
        <w:spacing w:line="360" w:lineRule="auto"/>
      </w:pPr>
      <w:r w:rsidRPr="0051213A">
        <w:t xml:space="preserve">The purpose of this note is to give an introduction that how to simulate a pair of loci, which is in </w:t>
      </w:r>
      <w:proofErr w:type="spellStart"/>
      <w:r w:rsidRPr="0051213A">
        <w:t>gametic</w:t>
      </w:r>
      <w:proofErr w:type="spellEnd"/>
      <w:r w:rsidRPr="0051213A">
        <w:t xml:space="preserve"> disequilibrium.  </w:t>
      </w:r>
      <w:proofErr w:type="gramStart"/>
      <w:r w:rsidRPr="0051213A">
        <w:t>s</w:t>
      </w:r>
      <w:proofErr w:type="gramEnd"/>
      <w:r w:rsidRPr="0051213A">
        <w:t xml:space="preserve"> the commonly used </w:t>
      </w:r>
      <w:proofErr w:type="spellStart"/>
      <w:r w:rsidRPr="0051213A">
        <w:t>gametic</w:t>
      </w:r>
      <w:proofErr w:type="spellEnd"/>
      <w:r w:rsidRPr="0051213A">
        <w:t xml:space="preserve"> disequilibrium parameter, D, has its upper bound and lower bound upon to the allele frequencies, it seems to be easier to simulate a pair of loci given D’, the relative </w:t>
      </w:r>
      <w:proofErr w:type="spellStart"/>
      <w:r w:rsidRPr="0051213A">
        <w:t>gematic</w:t>
      </w:r>
      <w:proofErr w:type="spellEnd"/>
      <w:r w:rsidRPr="0051213A">
        <w:t xml:space="preserve"> disequilibrium as defined by </w:t>
      </w:r>
      <w:proofErr w:type="spellStart"/>
      <w:r w:rsidRPr="0051213A">
        <w:t>Lewontin</w:t>
      </w:r>
      <w:proofErr w:type="spellEnd"/>
      <w:r w:rsidRPr="0051213A">
        <w:t>, the value of which is between -1 to 1.</w:t>
      </w:r>
    </w:p>
    <w:p w14:paraId="6066F0A3" w14:textId="77777777" w:rsidR="0051213A" w:rsidRPr="0051213A" w:rsidRDefault="0051213A" w:rsidP="0051213A"/>
    <w:p w14:paraId="682A7481" w14:textId="7E6806B9" w:rsidR="0051213A" w:rsidRPr="0051213A" w:rsidRDefault="0051213A" w:rsidP="0051213A">
      <w:pPr>
        <w:spacing w:line="360" w:lineRule="auto"/>
      </w:pPr>
      <w:r w:rsidRPr="0051213A">
        <w:t xml:space="preserve">Let the allele frequency of locus A is of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Pr="0051213A">
        <w:t xml:space="preserve"> for allele A and of </w:t>
      </w:r>
      <m:oMath>
        <m:sSub>
          <m:sSubPr>
            <m:ctrlPr>
              <w:rPr>
                <w:rFonts w:ascii="Cambria Math" w:hAnsi="Cambria Math"/>
                <w:i/>
              </w:rPr>
            </m:ctrlPr>
          </m:sSubPr>
          <m:e>
            <m:r>
              <w:rPr>
                <w:rFonts w:ascii="Cambria Math" w:hAnsi="Cambria Math"/>
              </w:rPr>
              <m:t>1-f</m:t>
            </m:r>
          </m:e>
          <m:sub>
            <m:r>
              <w:rPr>
                <w:rFonts w:ascii="Cambria Math" w:hAnsi="Cambria Math"/>
              </w:rPr>
              <m:t>A</m:t>
            </m:r>
          </m:sub>
        </m:sSub>
      </m:oMath>
      <w:r w:rsidRPr="0051213A">
        <w:t xml:space="preserve"> for a, and of locus B is of </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sidRPr="0051213A">
        <w:t xml:space="preserve"> for B and of </w:t>
      </w:r>
      <m:oMath>
        <m:sSub>
          <m:sSubPr>
            <m:ctrlPr>
              <w:rPr>
                <w:rFonts w:ascii="Cambria Math" w:hAnsi="Cambria Math"/>
                <w:i/>
              </w:rPr>
            </m:ctrlPr>
          </m:sSubPr>
          <m:e>
            <m:r>
              <w:rPr>
                <w:rFonts w:ascii="Cambria Math" w:hAnsi="Cambria Math"/>
              </w:rPr>
              <m:t>1-f</m:t>
            </m:r>
          </m:e>
          <m:sub>
            <m:r>
              <w:rPr>
                <w:rFonts w:ascii="Cambria Math" w:hAnsi="Cambria Math"/>
              </w:rPr>
              <m:t>B</m:t>
            </m:r>
          </m:sub>
        </m:sSub>
      </m:oMath>
      <w:r w:rsidRPr="0051213A">
        <w:t xml:space="preserve"> for b.   The frequencies of the four haplotypes of these two loci are </w:t>
      </w:r>
      <m:oMath>
        <m:sSub>
          <m:sSubPr>
            <m:ctrlPr>
              <w:rPr>
                <w:rFonts w:ascii="Cambria Math" w:hAnsi="Cambria Math"/>
                <w:i/>
              </w:rPr>
            </m:ctrlPr>
          </m:sSubPr>
          <m:e>
            <m:r>
              <w:rPr>
                <w:rFonts w:ascii="Cambria Math" w:hAnsi="Cambria Math"/>
              </w:rPr>
              <m:t>f</m:t>
            </m:r>
          </m:e>
          <m:sub>
            <m:r>
              <w:rPr>
                <w:rFonts w:ascii="Cambria Math" w:hAnsi="Cambria Math"/>
              </w:rPr>
              <m:t>AB</m:t>
            </m:r>
          </m:sub>
        </m:sSub>
      </m:oMath>
      <w:r w:rsidRPr="0051213A">
        <w:t xml:space="preserve"> (haplotype AB), </w:t>
      </w:r>
      <m:oMath>
        <m:sSub>
          <m:sSubPr>
            <m:ctrlPr>
              <w:rPr>
                <w:rFonts w:ascii="Cambria Math" w:hAnsi="Cambria Math"/>
                <w:i/>
              </w:rPr>
            </m:ctrlPr>
          </m:sSubPr>
          <m:e>
            <m:r>
              <w:rPr>
                <w:rFonts w:ascii="Cambria Math" w:hAnsi="Cambria Math"/>
              </w:rPr>
              <m:t>f</m:t>
            </m:r>
          </m:e>
          <m:sub>
            <m:r>
              <w:rPr>
                <w:rFonts w:ascii="Cambria Math" w:hAnsi="Cambria Math"/>
              </w:rPr>
              <m:t>Ab</m:t>
            </m:r>
          </m:sub>
        </m:sSub>
      </m:oMath>
      <w:r w:rsidRPr="0051213A">
        <w:t xml:space="preserve"> (haplotype Ab), </w:t>
      </w:r>
      <m:oMath>
        <m:sSub>
          <m:sSubPr>
            <m:ctrlPr>
              <w:rPr>
                <w:rFonts w:ascii="Cambria Math" w:hAnsi="Cambria Math"/>
                <w:i/>
              </w:rPr>
            </m:ctrlPr>
          </m:sSubPr>
          <m:e>
            <m:r>
              <w:rPr>
                <w:rFonts w:ascii="Cambria Math" w:hAnsi="Cambria Math"/>
              </w:rPr>
              <m:t>f</m:t>
            </m:r>
          </m:e>
          <m:sub>
            <m:r>
              <w:rPr>
                <w:rFonts w:ascii="Cambria Math" w:hAnsi="Cambria Math"/>
              </w:rPr>
              <m:t>aB</m:t>
            </m:r>
          </m:sub>
        </m:sSub>
      </m:oMath>
      <w:r w:rsidRPr="0051213A">
        <w:t xml:space="preserve"> (haplotype aB), and </w:t>
      </w:r>
      <m:oMath>
        <m:sSub>
          <m:sSubPr>
            <m:ctrlPr>
              <w:rPr>
                <w:rFonts w:ascii="Cambria Math" w:hAnsi="Cambria Math"/>
                <w:i/>
              </w:rPr>
            </m:ctrlPr>
          </m:sSubPr>
          <m:e>
            <m:r>
              <w:rPr>
                <w:rFonts w:ascii="Cambria Math" w:hAnsi="Cambria Math"/>
              </w:rPr>
              <m:t>f</m:t>
            </m:r>
          </m:e>
          <m:sub>
            <m:r>
              <w:rPr>
                <w:rFonts w:ascii="Cambria Math" w:hAnsi="Cambria Math"/>
              </w:rPr>
              <m:t>ab</m:t>
            </m:r>
          </m:sub>
        </m:sSub>
      </m:oMath>
      <w:r w:rsidRPr="0051213A">
        <w:t xml:space="preserve"> (haplotype ab).  The </w:t>
      </w:r>
      <w:proofErr w:type="spellStart"/>
      <w:r w:rsidRPr="0051213A">
        <w:t>Lewontin’s</w:t>
      </w:r>
      <w:proofErr w:type="spellEnd"/>
      <w:r w:rsidRPr="0051213A">
        <w:t xml:space="preserve"> measure</w:t>
      </w:r>
      <w:r w:rsidR="00BA7096">
        <w:t xml:space="preserve"> </w:t>
      </w:r>
      <w:r w:rsidR="00BA7096">
        <w:fldChar w:fldCharType="begin" w:fldLock="1"/>
      </w:r>
      <w:r w:rsidR="00BA7096">
        <w:instrText>ADDIN CSL_CITATION { "citationItems" : [ { "id" : "ITEM-1", "itemData" : { "ISSN" : "0016-6731", "PMID" : "17248194", "author" : [ { "dropping-particle" : "", "family" : "Lewontin", "given" : "R C", "non-dropping-particle" : "", "parse-names" : false, "suffix" : "" } ], "container-title" : "Genetics", "id" : "ITEM-1", "issue" : "1", "issued" : { "date-parts" : [ [ "1964", "1" ] ] }, "page" : "49-67", "title" : "The Interaction of Selection and Linkage. I. General Considerations; Heterotic Models.", "type" : "article-journal", "volume" : "49" }, "uris" : [ "http://www.mendeley.com/documents/?uuid=9f2b6550-a3f6-4c69-930e-778ae69de0ef" ] }, { "id" : "ITEM-2", "itemData" : { "DOI" : "10.1006/geno.1995.9003", "ISSN" : "0888-7543", "PMID" : "8666377", "abstract" : "Linkage mapping generally localizes disease genes to 1- to 2-cM regions of chromosomes. In theory, further refinement of location can be achieved by population-based studies of linkage disequilibrium between disease locus alleles and alleles at adjacent markers. One approach to localization, dubbed simple disequilibrium mapping, is to determine the relative location of the disease locus by plotting disequilibrium values against marker locations. We investigate the simple mapping properties of five disequilibrium measures, the correlation coefficient delta, Lewontin's D', the robust formulation of the population attributable risk delta, Yule's Q, and Kaplan and Weir's proportional difference d under the assumption of initial complete disequilibrium between disease and marker loci. The studies indicate that delta is a superior measure for fine mapping because it is directly related to the recombination fraction between the disease and the marker loci, and it is invariant when disease haplotypes are sampled at a rate higher than their population frequencies, as in a case-control study. D' yields results comparable to those of delta in many realistic settings. Of the remaining three measures, Q, delta, and d, Q yields the best results. From simulations of short-term evolution, all measures show some sensitivity to marker allele frequencies; however, as predicted by analytic results, Q, delta, and d exhibit the greatest sensitivity to variation in marker allele frequencies across loci.", "author" : [ { "dropping-particle" : "", "family" : "Devlin", "given" : "B", "non-dropping-particle" : "", "parse-names" : false, "suffix" : "" }, { "dropping-particle" : "", "family" : "Risch", "given" : "N", "non-dropping-particle" : "", "parse-names" : false, "suffix" : "" } ], "container-title" : "Genomics", "id" : "ITEM-2", "issue" : "2", "issued" : { "date-parts" : [ [ "1995", "9", "20" ] ] }, "page" : "311-22", "title" : "A comparison of linkage disequilibrium measures for fine-scale mapping.", "type" : "article-journal", "volume" : "29" }, "uris" : [ "http://www.mendeley.com/documents/?uuid=f9896083-5478-4749-a38d-4012a2daf8bd" ] } ], "mendeley" : { "formattedCitation" : "(Lewontin 1964; Devlin and Risch 1995)", "plainTextFormattedCitation" : "(Lewontin 1964; Devlin and Risch 1995)", "previouslyFormattedCitation" : "(Lewontin 1964; Devlin and Risch 1995)" }, "properties" : {  }, "schema" : "https://github.com/citation-style-language/schema/raw/master/csl-citation.json" }</w:instrText>
      </w:r>
      <w:r w:rsidR="00BA7096">
        <w:fldChar w:fldCharType="separate"/>
      </w:r>
      <w:r w:rsidR="00BA7096" w:rsidRPr="00BA7096">
        <w:rPr>
          <w:noProof/>
        </w:rPr>
        <w:t>(Lewontin 1964; Devlin and Risch 1995)</w:t>
      </w:r>
      <w:r w:rsidR="00BA7096">
        <w:fldChar w:fldCharType="end"/>
      </w:r>
      <w:r w:rsidR="00BA7096">
        <w:t xml:space="preserve"> </w:t>
      </w:r>
      <w:r w:rsidRPr="0051213A">
        <w:t>of linkage disequilibrium, which is a quantity between -1 and 1, can be specified first for a pair of loci of question</w:t>
      </w:r>
    </w:p>
    <w:p w14:paraId="3FC46A28" w14:textId="77777777" w:rsidR="0051213A" w:rsidRPr="0051213A" w:rsidRDefault="00BA7096" w:rsidP="0051213A">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num>
                    <m:den>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A</m:t>
                              </m:r>
                            </m:sub>
                          </m:sSub>
                        </m:e>
                      </m:d>
                      <m:r>
                        <w:rPr>
                          <w:rFonts w:ascii="Cambria Math" w:hAnsi="Cambria Math"/>
                        </w:rPr>
                        <m:t>)</m:t>
                      </m:r>
                    </m:den>
                  </m:f>
                  <m:r>
                    <w:rPr>
                      <w:rFonts w:ascii="Cambria Math" w:hAnsi="Cambria Math"/>
                    </w:rPr>
                    <m:t>, D&gt;0</m:t>
                  </m:r>
                </m:e>
                <m:e>
                  <m:f>
                    <m:fPr>
                      <m:ctrlPr>
                        <w:rPr>
                          <w:rFonts w:ascii="Cambria Math" w:hAnsi="Cambria Math"/>
                          <w:i/>
                        </w:rPr>
                      </m:ctrlPr>
                    </m:fPr>
                    <m:num>
                      <m:r>
                        <w:rPr>
                          <w:rFonts w:ascii="Cambria Math" w:hAnsi="Cambria Math"/>
                        </w:rPr>
                        <m:t>D</m:t>
                      </m:r>
                    </m:num>
                    <m:den>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den>
                  </m:f>
                  <m:r>
                    <w:rPr>
                      <w:rFonts w:ascii="Cambria Math" w:hAnsi="Cambria Math"/>
                    </w:rPr>
                    <m:t>,D&lt;0</m:t>
                  </m:r>
                </m:e>
              </m:eqArr>
            </m:e>
          </m:d>
        </m:oMath>
      </m:oMathPara>
    </w:p>
    <w:p w14:paraId="6D294C95" w14:textId="77777777" w:rsidR="0051213A" w:rsidRPr="0051213A" w:rsidRDefault="0051213A" w:rsidP="0051213A">
      <w:pPr>
        <w:spacing w:line="360" w:lineRule="auto"/>
        <w:rPr>
          <w:sz w:val="20"/>
          <w:szCs w:val="20"/>
        </w:rPr>
      </w:pPr>
      <w:proofErr w:type="gramStart"/>
      <w:r w:rsidRPr="0051213A">
        <w:t>in</w:t>
      </w:r>
      <w:proofErr w:type="gramEnd"/>
      <w:r w:rsidRPr="0051213A">
        <w:t xml:space="preserve"> which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AB</m:t>
            </m:r>
          </m:sub>
        </m:sSub>
        <m:sSub>
          <m:sSubPr>
            <m:ctrlPr>
              <w:rPr>
                <w:rFonts w:ascii="Cambria Math" w:hAnsi="Cambria Math"/>
                <w:i/>
              </w:rPr>
            </m:ctrlPr>
          </m:sSubPr>
          <m:e>
            <m:r>
              <w:rPr>
                <w:rFonts w:ascii="Cambria Math" w:hAnsi="Cambria Math"/>
              </w:rPr>
              <m:t>f</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Ab</m:t>
            </m:r>
          </m:sub>
        </m:sSub>
        <m:sSub>
          <m:sSubPr>
            <m:ctrlPr>
              <w:rPr>
                <w:rFonts w:ascii="Cambria Math" w:hAnsi="Cambria Math"/>
                <w:i/>
              </w:rPr>
            </m:ctrlPr>
          </m:sSubPr>
          <m:e>
            <m:r>
              <w:rPr>
                <w:rFonts w:ascii="Cambria Math" w:hAnsi="Cambria Math"/>
              </w:rPr>
              <m:t>f</m:t>
            </m:r>
          </m:e>
          <m:sub>
            <m:r>
              <w:rPr>
                <w:rFonts w:ascii="Cambria Math" w:hAnsi="Cambria Math"/>
              </w:rPr>
              <m:t>aB</m:t>
            </m:r>
          </m:sub>
        </m:sSub>
      </m:oMath>
      <w:r w:rsidRPr="0051213A">
        <w:fldChar w:fldCharType="begin"/>
      </w:r>
      <w:r w:rsidRPr="0051213A">
        <w:instrText xml:space="preserve"> ADDIN EN.CITE &lt;EndNote&gt;&lt;Cite&gt;&lt;Author&gt;Devlin&lt;/Author&gt;&lt;Year&gt;1995&lt;/Year&gt;&lt;IDText&gt;A comparison of linkage disequilibrium measures for fine-scale mapping&lt;/IDText&gt;&lt;DisplayText&gt;[Devlin and Risch 1995]&lt;/DisplayText&gt;&lt;record&gt;&lt;dates&gt;&lt;pub-dates&gt;&lt;date&gt;Sep 20&lt;/date&gt;&lt;/pub-dates&gt;&lt;year&gt;1995&lt;/year&gt;&lt;/dates&gt;&lt;keywords&gt;&lt;keyword&gt;Alleles&lt;/keyword&gt;&lt;keyword&gt;Case-Control Studies&lt;/keyword&gt;&lt;keyword&gt;*Chromosome Mapping&lt;/keyword&gt;&lt;keyword&gt;Evolution&lt;/keyword&gt;&lt;keyword&gt;Genetic Diseases, Inborn/*genetics&lt;/keyword&gt;&lt;keyword&gt;Genetic Markers&lt;/keyword&gt;&lt;keyword&gt;Haplotypes&lt;/keyword&gt;&lt;keyword&gt;Humans&lt;/keyword&gt;&lt;keyword&gt;*Linkage Disequilibrium&lt;/keyword&gt;&lt;keyword&gt;Models, Genetic&lt;/keyword&gt;&lt;keyword&gt;Models, Statistical&lt;/keyword&gt;&lt;keyword&gt;Sensitivity and Specificity&lt;/keyword&gt;&lt;keyword&gt;Stochastic Processes&lt;/keyword&gt;&lt;/keywords&gt;&lt;urls&gt;&lt;related-urls&gt;&lt;url&gt;http://www.ncbi.nlm.nih.gov/entrez/query.fcgi?cmd=Retrieve&amp;amp;db=PubMed&amp;amp;dopt=Citation&amp;amp;list_uids=8666377&lt;/url&gt;&lt;/related-urls&gt;&lt;/urls&gt;&lt;titles&gt;&lt;title&gt;A comparison of linkage disequilibrium measures for fine-scale mapping&lt;/title&gt;&lt;secondary-title&gt;Genomics&lt;/secondary-title&gt;&lt;short-title&gt;A comparison of linkage disequilibrium measures for fine-scale mapping&lt;/short-title&gt;&lt;/titles&gt;&lt;pages&gt;311-22&lt;/pages&gt;&lt;number&gt;2&lt;/number&gt;&lt;contributors&gt;&lt;authors&gt;&lt;author&gt;Devlin, B.&lt;/author&gt;&lt;author&gt;Risch, N.&lt;/author&gt;&lt;/authors&gt;&lt;/contributors&gt;&lt;added-date format="utc"&gt;1308061241&lt;/added-date&gt;&lt;ref-type name="Journal Article"&gt;17&lt;/ref-type&gt;&lt;auth-address&gt;Department of Epidemiology and Public Health, Yale University School of Medicine, New Haven, Connecticut, USA.&lt;/auth-address&gt;&lt;rec-number&gt;83&lt;/rec-number&gt;&lt;last-updated-date format="utc"&gt;1308061241&lt;/last-updated-date&gt;&lt;accession-num&gt;8666377&lt;/accession-num&gt;&lt;volume&gt;29&lt;/volume&gt;&lt;/record&gt;&lt;/Cite&gt;&lt;/EndNote&gt;</w:instrText>
      </w:r>
      <w:r w:rsidRPr="0051213A">
        <w:fldChar w:fldCharType="separate"/>
      </w:r>
      <w:r w:rsidRPr="0051213A">
        <w:rPr>
          <w:noProof/>
        </w:rPr>
        <w:t>[Devlin and Risch 1995]</w:t>
      </w:r>
      <w:r w:rsidRPr="0051213A">
        <w:fldChar w:fldCharType="end"/>
      </w:r>
      <w:r w:rsidRPr="0051213A">
        <w:t xml:space="preserve">. Regardless of the sign of </w:t>
      </w:r>
      <m:oMath>
        <m:r>
          <w:rPr>
            <w:rFonts w:ascii="Cambria Math" w:hAnsi="Cambria Math"/>
          </w:rPr>
          <m:t>D</m:t>
        </m:r>
      </m:oMath>
      <w:r w:rsidRPr="0051213A">
        <w:t xml:space="preserve">, the denominator in the expression of </w:t>
      </w:r>
      <m:oMath>
        <m:r>
          <w:rPr>
            <w:rFonts w:ascii="Cambria Math" w:hAnsi="Cambria Math"/>
          </w:rPr>
          <m:t>D'</m:t>
        </m:r>
      </m:oMath>
      <w:r w:rsidRPr="0051213A">
        <w:t xml:space="preserve"> is denoted as </w:t>
      </w:r>
      <m:oMath>
        <m:r>
          <w:rPr>
            <w:rFonts w:ascii="Cambria Math" w:hAnsi="Cambria Math"/>
          </w:rPr>
          <m:t>ψ</m:t>
        </m:r>
      </m:oMath>
      <w:r w:rsidRPr="0051213A">
        <w:t xml:space="preserve">, and </w:t>
      </w:r>
      <m:oMath>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×ψ</m:t>
        </m:r>
      </m:oMath>
      <w:r w:rsidRPr="0051213A">
        <w:rPr>
          <w:sz w:val="20"/>
          <w:szCs w:val="20"/>
        </w:rPr>
        <w:t>.</w:t>
      </w:r>
    </w:p>
    <w:p w14:paraId="646BD7FA" w14:textId="77777777" w:rsidR="0051213A" w:rsidRPr="0051213A" w:rsidRDefault="0051213A" w:rsidP="0051213A">
      <w:pPr>
        <w:rPr>
          <w:sz w:val="20"/>
          <w:szCs w:val="20"/>
        </w:rPr>
      </w:pPr>
      <w:r w:rsidRPr="0051213A">
        <w:rPr>
          <w:sz w:val="20"/>
          <w:szCs w:val="20"/>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5"/>
        <w:gridCol w:w="1710"/>
        <w:gridCol w:w="2784"/>
        <w:gridCol w:w="2551"/>
        <w:gridCol w:w="1418"/>
      </w:tblGrid>
      <w:tr w:rsidR="0051213A" w:rsidRPr="0051213A" w14:paraId="2BFC9DD8" w14:textId="77777777" w:rsidTr="008E0A25">
        <w:tc>
          <w:tcPr>
            <w:tcW w:w="2135" w:type="dxa"/>
          </w:tcPr>
          <w:p w14:paraId="184988BC" w14:textId="77777777" w:rsidR="0051213A" w:rsidRPr="0051213A" w:rsidRDefault="0051213A" w:rsidP="008E0A25">
            <w:pPr>
              <w:rPr>
                <w:sz w:val="20"/>
                <w:szCs w:val="20"/>
              </w:rPr>
            </w:pPr>
          </w:p>
        </w:tc>
        <w:tc>
          <w:tcPr>
            <w:tcW w:w="1710" w:type="dxa"/>
          </w:tcPr>
          <w:p w14:paraId="580F51E3" w14:textId="77777777" w:rsidR="0051213A" w:rsidRPr="0051213A" w:rsidRDefault="0051213A" w:rsidP="008E0A25">
            <w:pPr>
              <w:rPr>
                <w:sz w:val="20"/>
                <w:szCs w:val="20"/>
              </w:rPr>
            </w:pPr>
          </w:p>
        </w:tc>
        <w:tc>
          <w:tcPr>
            <w:tcW w:w="5335" w:type="dxa"/>
            <w:gridSpan w:val="2"/>
            <w:tcBorders>
              <w:bottom w:val="single" w:sz="4" w:space="0" w:color="auto"/>
            </w:tcBorders>
          </w:tcPr>
          <w:p w14:paraId="5EC55724" w14:textId="77777777" w:rsidR="0051213A" w:rsidRPr="0051213A" w:rsidRDefault="0051213A" w:rsidP="008E0A25">
            <w:pPr>
              <w:jc w:val="center"/>
              <w:rPr>
                <w:sz w:val="20"/>
                <w:szCs w:val="20"/>
              </w:rPr>
            </w:pPr>
            <w:r w:rsidRPr="0051213A">
              <w:rPr>
                <w:sz w:val="20"/>
                <w:szCs w:val="20"/>
              </w:rPr>
              <w:t>Locus A</w:t>
            </w:r>
          </w:p>
        </w:tc>
        <w:tc>
          <w:tcPr>
            <w:tcW w:w="1418" w:type="dxa"/>
          </w:tcPr>
          <w:p w14:paraId="53ACEC93" w14:textId="77777777" w:rsidR="0051213A" w:rsidRPr="0051213A" w:rsidRDefault="0051213A" w:rsidP="008E0A25">
            <w:pPr>
              <w:rPr>
                <w:sz w:val="20"/>
                <w:szCs w:val="20"/>
              </w:rPr>
            </w:pPr>
          </w:p>
        </w:tc>
      </w:tr>
      <w:tr w:rsidR="0051213A" w:rsidRPr="0051213A" w14:paraId="291CC4B0" w14:textId="77777777" w:rsidTr="008E0A25">
        <w:tc>
          <w:tcPr>
            <w:tcW w:w="2135" w:type="dxa"/>
          </w:tcPr>
          <w:p w14:paraId="1540242A" w14:textId="77777777" w:rsidR="0051213A" w:rsidRPr="0051213A" w:rsidRDefault="0051213A" w:rsidP="008E0A25">
            <w:pPr>
              <w:rPr>
                <w:sz w:val="20"/>
                <w:szCs w:val="20"/>
              </w:rPr>
            </w:pPr>
          </w:p>
        </w:tc>
        <w:tc>
          <w:tcPr>
            <w:tcW w:w="1710" w:type="dxa"/>
          </w:tcPr>
          <w:p w14:paraId="58B817AD" w14:textId="77777777" w:rsidR="0051213A" w:rsidRPr="0051213A" w:rsidRDefault="0051213A" w:rsidP="008E0A25">
            <w:pPr>
              <w:rPr>
                <w:sz w:val="20"/>
                <w:szCs w:val="20"/>
              </w:rPr>
            </w:pPr>
          </w:p>
        </w:tc>
        <w:tc>
          <w:tcPr>
            <w:tcW w:w="2784" w:type="dxa"/>
            <w:tcBorders>
              <w:top w:val="single" w:sz="4" w:space="0" w:color="auto"/>
              <w:bottom w:val="single" w:sz="4" w:space="0" w:color="auto"/>
            </w:tcBorders>
          </w:tcPr>
          <w:p w14:paraId="29713F6F" w14:textId="77777777" w:rsidR="0051213A" w:rsidRPr="0051213A" w:rsidRDefault="0051213A" w:rsidP="008E0A25">
            <w:pPr>
              <w:jc w:val="center"/>
              <w:rPr>
                <w:sz w:val="20"/>
                <w:szCs w:val="20"/>
              </w:rPr>
            </w:pPr>
            <w:r w:rsidRPr="0051213A">
              <w:rPr>
                <w:sz w:val="20"/>
                <w:szCs w:val="20"/>
              </w:rPr>
              <w:t>A (1)</w:t>
            </w:r>
          </w:p>
        </w:tc>
        <w:tc>
          <w:tcPr>
            <w:tcW w:w="2551" w:type="dxa"/>
            <w:tcBorders>
              <w:top w:val="single" w:sz="4" w:space="0" w:color="auto"/>
              <w:bottom w:val="single" w:sz="4" w:space="0" w:color="auto"/>
            </w:tcBorders>
          </w:tcPr>
          <w:p w14:paraId="789B5B44" w14:textId="77777777" w:rsidR="0051213A" w:rsidRPr="0051213A" w:rsidRDefault="0051213A" w:rsidP="008E0A25">
            <w:pPr>
              <w:jc w:val="center"/>
              <w:rPr>
                <w:sz w:val="20"/>
                <w:szCs w:val="20"/>
              </w:rPr>
            </w:pPr>
            <w:proofErr w:type="gramStart"/>
            <w:r w:rsidRPr="0051213A">
              <w:rPr>
                <w:sz w:val="20"/>
                <w:szCs w:val="20"/>
              </w:rPr>
              <w:t>a</w:t>
            </w:r>
            <w:proofErr w:type="gramEnd"/>
            <w:r w:rsidRPr="0051213A">
              <w:rPr>
                <w:sz w:val="20"/>
                <w:szCs w:val="20"/>
              </w:rPr>
              <w:t xml:space="preserve"> (0)</w:t>
            </w:r>
          </w:p>
        </w:tc>
        <w:tc>
          <w:tcPr>
            <w:tcW w:w="1418" w:type="dxa"/>
          </w:tcPr>
          <w:p w14:paraId="7B0926A7" w14:textId="77777777" w:rsidR="0051213A" w:rsidRPr="0051213A" w:rsidRDefault="0051213A" w:rsidP="008E0A25">
            <w:pPr>
              <w:rPr>
                <w:sz w:val="20"/>
                <w:szCs w:val="20"/>
              </w:rPr>
            </w:pPr>
          </w:p>
        </w:tc>
      </w:tr>
      <w:tr w:rsidR="0051213A" w:rsidRPr="0051213A" w14:paraId="5BFD9543" w14:textId="77777777" w:rsidTr="008E0A25">
        <w:tc>
          <w:tcPr>
            <w:tcW w:w="2135" w:type="dxa"/>
            <w:vMerge w:val="restart"/>
          </w:tcPr>
          <w:p w14:paraId="4FB25CB1" w14:textId="77777777" w:rsidR="0051213A" w:rsidRPr="0051213A" w:rsidRDefault="0051213A" w:rsidP="008E0A25">
            <w:pPr>
              <w:rPr>
                <w:sz w:val="20"/>
                <w:szCs w:val="20"/>
              </w:rPr>
            </w:pPr>
            <w:r w:rsidRPr="0051213A">
              <w:rPr>
                <w:sz w:val="20"/>
                <w:szCs w:val="20"/>
              </w:rPr>
              <w:t>Locus B</w:t>
            </w:r>
          </w:p>
        </w:tc>
        <w:tc>
          <w:tcPr>
            <w:tcW w:w="1710" w:type="dxa"/>
          </w:tcPr>
          <w:p w14:paraId="089ADA74" w14:textId="77777777" w:rsidR="0051213A" w:rsidRPr="0051213A" w:rsidRDefault="0051213A" w:rsidP="008E0A25">
            <w:pPr>
              <w:rPr>
                <w:sz w:val="20"/>
                <w:szCs w:val="20"/>
              </w:rPr>
            </w:pPr>
            <w:r w:rsidRPr="0051213A">
              <w:rPr>
                <w:sz w:val="20"/>
                <w:szCs w:val="20"/>
              </w:rPr>
              <w:t>B (1)</w:t>
            </w:r>
          </w:p>
        </w:tc>
        <w:tc>
          <w:tcPr>
            <w:tcW w:w="2784" w:type="dxa"/>
            <w:tcBorders>
              <w:top w:val="single" w:sz="4" w:space="0" w:color="auto"/>
              <w:bottom w:val="single" w:sz="4" w:space="0" w:color="auto"/>
              <w:right w:val="single" w:sz="4" w:space="0" w:color="auto"/>
            </w:tcBorders>
          </w:tcPr>
          <w:p w14:paraId="37BB5A0D" w14:textId="77777777" w:rsidR="0051213A" w:rsidRPr="0051213A" w:rsidRDefault="0051213A" w:rsidP="008E0A25">
            <w:pPr>
              <w:jc w:val="center"/>
              <w:rPr>
                <w:sz w:val="20"/>
                <w:szCs w:val="20"/>
              </w:rPr>
            </w:pPr>
            <w:r w:rsidRPr="0051213A">
              <w:rPr>
                <w:sz w:val="20"/>
                <w:szCs w:val="20"/>
              </w:rPr>
              <w:t>AB</w:t>
            </w:r>
          </w:p>
          <w:p w14:paraId="297A6A42" w14:textId="77777777" w:rsidR="0051213A" w:rsidRPr="0051213A" w:rsidRDefault="00BA7096" w:rsidP="008E0A25">
            <w:pPr>
              <w:rPr>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B</m:t>
                    </m:r>
                  </m:sub>
                </m:sSub>
                <m:r>
                  <w:rPr>
                    <w:rFonts w:ascii="Cambria Math" w:hAnsi="Cambria Math"/>
                    <w:sz w:val="20"/>
                    <w:szCs w:val="20"/>
                  </w:rPr>
                  <m:t>+D</m:t>
                </m:r>
              </m:oMath>
            </m:oMathPara>
          </w:p>
        </w:tc>
        <w:tc>
          <w:tcPr>
            <w:tcW w:w="2551" w:type="dxa"/>
            <w:tcBorders>
              <w:top w:val="single" w:sz="4" w:space="0" w:color="auto"/>
              <w:left w:val="single" w:sz="4" w:space="0" w:color="auto"/>
              <w:bottom w:val="single" w:sz="4" w:space="0" w:color="auto"/>
            </w:tcBorders>
          </w:tcPr>
          <w:p w14:paraId="584B2F08" w14:textId="77777777" w:rsidR="0051213A" w:rsidRPr="0051213A" w:rsidRDefault="0051213A" w:rsidP="008E0A25">
            <w:pPr>
              <w:jc w:val="center"/>
              <w:rPr>
                <w:sz w:val="20"/>
                <w:szCs w:val="20"/>
              </w:rPr>
            </w:pPr>
            <w:proofErr w:type="spellStart"/>
            <w:proofErr w:type="gramStart"/>
            <w:r w:rsidRPr="0051213A">
              <w:rPr>
                <w:sz w:val="20"/>
                <w:szCs w:val="20"/>
              </w:rPr>
              <w:t>aB</w:t>
            </w:r>
            <w:proofErr w:type="spellEnd"/>
            <w:proofErr w:type="gramEnd"/>
          </w:p>
          <w:p w14:paraId="57582391" w14:textId="77777777" w:rsidR="0051213A" w:rsidRPr="0051213A" w:rsidRDefault="00BA7096" w:rsidP="008E0A25">
            <w:pPr>
              <w:rPr>
                <w:sz w:val="20"/>
                <w:szCs w:val="20"/>
              </w:rPr>
            </w:pPr>
            <m:oMathPara>
              <m:oMath>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e>
                </m:d>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B</m:t>
                    </m:r>
                  </m:sub>
                </m:sSub>
                <m:r>
                  <w:rPr>
                    <w:rFonts w:ascii="Cambria Math" w:hAnsi="Cambria Math"/>
                    <w:sz w:val="20"/>
                    <w:szCs w:val="20"/>
                  </w:rPr>
                  <m:t>-D</m:t>
                </m:r>
              </m:oMath>
            </m:oMathPara>
          </w:p>
        </w:tc>
        <w:tc>
          <w:tcPr>
            <w:tcW w:w="1418" w:type="dxa"/>
          </w:tcPr>
          <w:p w14:paraId="6B594D76" w14:textId="77777777" w:rsidR="0051213A" w:rsidRPr="0051213A" w:rsidRDefault="00BA7096" w:rsidP="008E0A25">
            <w:pPr>
              <w:rPr>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B</m:t>
                    </m:r>
                  </m:sub>
                </m:sSub>
              </m:oMath>
            </m:oMathPara>
          </w:p>
        </w:tc>
      </w:tr>
      <w:tr w:rsidR="0051213A" w:rsidRPr="0051213A" w14:paraId="117A8011" w14:textId="77777777" w:rsidTr="008E0A25">
        <w:tc>
          <w:tcPr>
            <w:tcW w:w="2135" w:type="dxa"/>
            <w:vMerge/>
          </w:tcPr>
          <w:p w14:paraId="2A540CAC" w14:textId="77777777" w:rsidR="0051213A" w:rsidRPr="0051213A" w:rsidRDefault="0051213A" w:rsidP="008E0A25">
            <w:pPr>
              <w:rPr>
                <w:sz w:val="20"/>
                <w:szCs w:val="20"/>
              </w:rPr>
            </w:pPr>
          </w:p>
        </w:tc>
        <w:tc>
          <w:tcPr>
            <w:tcW w:w="1710" w:type="dxa"/>
          </w:tcPr>
          <w:p w14:paraId="7576FA72" w14:textId="77777777" w:rsidR="0051213A" w:rsidRPr="0051213A" w:rsidRDefault="0051213A" w:rsidP="008E0A25">
            <w:pPr>
              <w:rPr>
                <w:sz w:val="20"/>
                <w:szCs w:val="20"/>
              </w:rPr>
            </w:pPr>
            <w:proofErr w:type="gramStart"/>
            <w:r w:rsidRPr="0051213A">
              <w:rPr>
                <w:sz w:val="20"/>
                <w:szCs w:val="20"/>
              </w:rPr>
              <w:t>b</w:t>
            </w:r>
            <w:proofErr w:type="gramEnd"/>
            <w:r w:rsidRPr="0051213A">
              <w:rPr>
                <w:sz w:val="20"/>
                <w:szCs w:val="20"/>
              </w:rPr>
              <w:t xml:space="preserve"> (0)</w:t>
            </w:r>
          </w:p>
        </w:tc>
        <w:tc>
          <w:tcPr>
            <w:tcW w:w="2784" w:type="dxa"/>
            <w:tcBorders>
              <w:top w:val="single" w:sz="4" w:space="0" w:color="auto"/>
              <w:bottom w:val="single" w:sz="4" w:space="0" w:color="auto"/>
              <w:right w:val="single" w:sz="4" w:space="0" w:color="auto"/>
            </w:tcBorders>
          </w:tcPr>
          <w:p w14:paraId="7072F10E" w14:textId="77777777" w:rsidR="0051213A" w:rsidRPr="0051213A" w:rsidRDefault="0051213A" w:rsidP="008E0A25">
            <w:pPr>
              <w:jc w:val="center"/>
              <w:rPr>
                <w:sz w:val="20"/>
                <w:szCs w:val="20"/>
              </w:rPr>
            </w:pPr>
            <w:proofErr w:type="spellStart"/>
            <w:r w:rsidRPr="0051213A">
              <w:rPr>
                <w:sz w:val="20"/>
                <w:szCs w:val="20"/>
              </w:rPr>
              <w:t>Ab</w:t>
            </w:r>
            <w:proofErr w:type="spellEnd"/>
          </w:p>
          <w:p w14:paraId="049699DB" w14:textId="77777777" w:rsidR="0051213A" w:rsidRPr="0051213A" w:rsidRDefault="00BA7096" w:rsidP="008E0A25">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B</m:t>
                        </m:r>
                      </m:sub>
                    </m:sSub>
                  </m:e>
                </m:d>
                <m:r>
                  <w:rPr>
                    <w:rFonts w:ascii="Cambria Math" w:hAnsi="Cambria Math"/>
                    <w:sz w:val="20"/>
                    <w:szCs w:val="20"/>
                  </w:rPr>
                  <m:t>-D</m:t>
                </m:r>
              </m:oMath>
            </m:oMathPara>
          </w:p>
        </w:tc>
        <w:tc>
          <w:tcPr>
            <w:tcW w:w="2551" w:type="dxa"/>
            <w:tcBorders>
              <w:top w:val="single" w:sz="4" w:space="0" w:color="auto"/>
              <w:left w:val="single" w:sz="4" w:space="0" w:color="auto"/>
              <w:bottom w:val="single" w:sz="4" w:space="0" w:color="auto"/>
            </w:tcBorders>
          </w:tcPr>
          <w:p w14:paraId="20990C1A" w14:textId="77777777" w:rsidR="0051213A" w:rsidRPr="0051213A" w:rsidRDefault="0051213A" w:rsidP="008E0A25">
            <w:pPr>
              <w:jc w:val="center"/>
              <w:rPr>
                <w:sz w:val="20"/>
                <w:szCs w:val="20"/>
              </w:rPr>
            </w:pPr>
            <w:proofErr w:type="spellStart"/>
            <w:proofErr w:type="gramStart"/>
            <w:r w:rsidRPr="0051213A">
              <w:rPr>
                <w:sz w:val="20"/>
                <w:szCs w:val="20"/>
              </w:rPr>
              <w:t>ab</w:t>
            </w:r>
            <w:proofErr w:type="spellEnd"/>
            <w:proofErr w:type="gramEnd"/>
          </w:p>
          <w:p w14:paraId="2A71F4FF" w14:textId="77777777" w:rsidR="0051213A" w:rsidRPr="0051213A" w:rsidRDefault="00BA7096" w:rsidP="008E0A25">
            <w:pPr>
              <w:jc w:val="center"/>
              <w:rPr>
                <w:sz w:val="20"/>
                <w:szCs w:val="20"/>
              </w:rPr>
            </w:pPr>
            <m:oMathPara>
              <m:oMath>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e>
                </m:d>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B</m:t>
                        </m:r>
                      </m:sub>
                    </m:sSub>
                  </m:e>
                </m:d>
                <m:r>
                  <w:rPr>
                    <w:rFonts w:ascii="Cambria Math" w:hAnsi="Cambria Math"/>
                    <w:sz w:val="20"/>
                    <w:szCs w:val="20"/>
                  </w:rPr>
                  <m:t>+D</m:t>
                </m:r>
              </m:oMath>
            </m:oMathPara>
          </w:p>
        </w:tc>
        <w:tc>
          <w:tcPr>
            <w:tcW w:w="1418" w:type="dxa"/>
          </w:tcPr>
          <w:p w14:paraId="70D0B346" w14:textId="77777777" w:rsidR="0051213A" w:rsidRPr="0051213A" w:rsidRDefault="0051213A" w:rsidP="008E0A25">
            <w:pPr>
              <w:rPr>
                <w:sz w:val="20"/>
                <w:szCs w:val="20"/>
              </w:rPr>
            </w:pPr>
            <m:oMathPara>
              <m:oMath>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B</m:t>
                    </m:r>
                  </m:sub>
                </m:sSub>
              </m:oMath>
            </m:oMathPara>
          </w:p>
        </w:tc>
      </w:tr>
      <w:tr w:rsidR="0051213A" w:rsidRPr="0051213A" w14:paraId="29925875" w14:textId="77777777" w:rsidTr="008E0A25">
        <w:tc>
          <w:tcPr>
            <w:tcW w:w="2135" w:type="dxa"/>
          </w:tcPr>
          <w:p w14:paraId="238FB490" w14:textId="77777777" w:rsidR="0051213A" w:rsidRPr="0051213A" w:rsidRDefault="0051213A" w:rsidP="008E0A25">
            <w:pPr>
              <w:rPr>
                <w:sz w:val="20"/>
                <w:szCs w:val="20"/>
              </w:rPr>
            </w:pPr>
          </w:p>
        </w:tc>
        <w:tc>
          <w:tcPr>
            <w:tcW w:w="1710" w:type="dxa"/>
          </w:tcPr>
          <w:p w14:paraId="5B0ECE7B" w14:textId="77777777" w:rsidR="0051213A" w:rsidRPr="0051213A" w:rsidRDefault="0051213A" w:rsidP="008E0A25">
            <w:pPr>
              <w:rPr>
                <w:sz w:val="20"/>
                <w:szCs w:val="20"/>
              </w:rPr>
            </w:pPr>
          </w:p>
        </w:tc>
        <w:tc>
          <w:tcPr>
            <w:tcW w:w="2784" w:type="dxa"/>
            <w:tcBorders>
              <w:top w:val="single" w:sz="4" w:space="0" w:color="auto"/>
              <w:bottom w:val="single" w:sz="4" w:space="0" w:color="auto"/>
              <w:right w:val="single" w:sz="4" w:space="0" w:color="auto"/>
            </w:tcBorders>
          </w:tcPr>
          <w:p w14:paraId="62141A2D" w14:textId="77777777" w:rsidR="0051213A" w:rsidRPr="0051213A" w:rsidRDefault="00BA7096" w:rsidP="008E0A25">
            <w:pPr>
              <w:rPr>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oMath>
            </m:oMathPara>
          </w:p>
        </w:tc>
        <w:tc>
          <w:tcPr>
            <w:tcW w:w="2551" w:type="dxa"/>
            <w:tcBorders>
              <w:top w:val="single" w:sz="4" w:space="0" w:color="auto"/>
              <w:left w:val="single" w:sz="4" w:space="0" w:color="auto"/>
            </w:tcBorders>
          </w:tcPr>
          <w:p w14:paraId="383D13DA" w14:textId="77777777" w:rsidR="0051213A" w:rsidRPr="0051213A" w:rsidRDefault="0051213A" w:rsidP="008E0A25">
            <w:pPr>
              <w:rPr>
                <w:sz w:val="20"/>
                <w:szCs w:val="20"/>
              </w:rPr>
            </w:pPr>
            <m:oMathPara>
              <m:oMath>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oMath>
            </m:oMathPara>
          </w:p>
        </w:tc>
        <w:tc>
          <w:tcPr>
            <w:tcW w:w="1418" w:type="dxa"/>
          </w:tcPr>
          <w:p w14:paraId="1A2F746E" w14:textId="77777777" w:rsidR="0051213A" w:rsidRPr="0051213A" w:rsidRDefault="0051213A" w:rsidP="008E0A25">
            <w:pPr>
              <w:rPr>
                <w:sz w:val="20"/>
                <w:szCs w:val="20"/>
              </w:rPr>
            </w:pPr>
          </w:p>
        </w:tc>
      </w:tr>
    </w:tbl>
    <w:p w14:paraId="6E5858B1" w14:textId="77777777" w:rsidR="0051213A" w:rsidRPr="0051213A" w:rsidRDefault="0051213A" w:rsidP="0051213A">
      <w:pPr>
        <w:rPr>
          <w:sz w:val="20"/>
          <w:szCs w:val="20"/>
        </w:rPr>
      </w:pPr>
    </w:p>
    <w:p w14:paraId="4E4F767C" w14:textId="77777777" w:rsidR="0051213A" w:rsidRPr="0051213A" w:rsidRDefault="0051213A" w:rsidP="0051213A">
      <w:pPr>
        <w:spacing w:line="360" w:lineRule="auto"/>
      </w:pPr>
      <w:r w:rsidRPr="0051213A">
        <w:t>In simulation, under random mating, the conditional probability of generating the second locus could be expressed as</w:t>
      </w:r>
      <w:r w:rsidR="004E14DA">
        <w:t xml:space="preserve"> (</w:t>
      </w:r>
      <m:oMath>
        <m:r>
          <w:rPr>
            <w:rFonts w:ascii="Cambria Math" w:hAnsi="Cambria Math"/>
          </w:rPr>
          <m:t>t</m:t>
        </m:r>
      </m:oMath>
      <w:r w:rsidR="004E14DA">
        <w:t xml:space="preserve"> is generation)</w:t>
      </w:r>
    </w:p>
    <w:p w14:paraId="59815A5F" w14:textId="77777777" w:rsidR="0051213A" w:rsidRPr="0051213A" w:rsidRDefault="0051213A" w:rsidP="0051213A">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m:t>
                  </m:r>
                </m:sub>
              </m:sSub>
            </m:e>
            <m:e>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l</m:t>
                      </m:r>
                    </m:e>
                    <m:sub>
                      <m:r>
                        <w:rPr>
                          <w:rFonts w:ascii="Cambria Math" w:hAnsi="Cambria Math"/>
                        </w:rPr>
                        <m:t>B</m:t>
                      </m:r>
                    </m:sub>
                  </m:sSub>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l</m:t>
                      </m:r>
                    </m:e>
                    <m:sub>
                      <m:r>
                        <w:rPr>
                          <w:rFonts w:ascii="Cambria Math" w:hAnsi="Cambria Math"/>
                        </w:rPr>
                        <m:t>A</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sup>
              </m:sSup>
              <m:sSup>
                <m:sSupPr>
                  <m:ctrlPr>
                    <w:rPr>
                      <w:rFonts w:ascii="Cambria Math" w:hAnsi="Cambria Math"/>
                      <w:i/>
                    </w:rPr>
                  </m:ctrlPr>
                </m:sSupPr>
                <m:e>
                  <m:r>
                    <w:rPr>
                      <w:rFonts w:ascii="Cambria Math" w:hAnsi="Cambria Math"/>
                    </w:rPr>
                    <m:t>D</m:t>
                  </m:r>
                </m:e>
                <m:sup>
                  <m:r>
                    <w:rPr>
                      <w:rFonts w:ascii="Cambria Math" w:hAnsi="Cambria Math"/>
                    </w:rPr>
                    <m:t>t</m:t>
                  </m:r>
                </m:sup>
              </m:sSup>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l</m:t>
                      </m:r>
                    </m:e>
                    <m:sub>
                      <m:r>
                        <w:rPr>
                          <w:rFonts w:ascii="Cambria Math" w:hAnsi="Cambria Math"/>
                        </w:rPr>
                        <m:t>A</m:t>
                      </m:r>
                    </m:sub>
                  </m:sSub>
                </m:sub>
              </m:sSub>
            </m:den>
          </m:f>
        </m:oMath>
      </m:oMathPara>
    </w:p>
    <w:p w14:paraId="5274DADB" w14:textId="77777777" w:rsidR="0051213A" w:rsidRPr="0051213A" w:rsidRDefault="0051213A" w:rsidP="0051213A">
      <w:pPr>
        <w:spacing w:line="360" w:lineRule="auto"/>
      </w:pPr>
      <w:proofErr w:type="gramStart"/>
      <w:r w:rsidRPr="0051213A">
        <w:t>and</w:t>
      </w:r>
      <w:proofErr w:type="gramEnd"/>
      <w:r w:rsidRPr="0051213A">
        <w:t xml:space="preserve">  </w:t>
      </w:r>
      <m:oMath>
        <m:sSub>
          <m:sSubPr>
            <m:ctrlPr>
              <w:rPr>
                <w:rFonts w:ascii="Cambria Math" w:hAnsi="Cambria Math"/>
                <w:i/>
              </w:rPr>
            </m:ctrlPr>
          </m:sSubPr>
          <m:e>
            <m:r>
              <w:rPr>
                <w:rFonts w:ascii="Cambria Math" w:hAnsi="Cambria Math"/>
              </w:rPr>
              <m:t>l</m:t>
            </m:r>
          </m:e>
          <m:sub>
            <m:r>
              <w:rPr>
                <w:rFonts w:ascii="Cambria Math" w:hAnsi="Cambria Math"/>
              </w:rPr>
              <m:t>X</m:t>
            </m:r>
          </m:sub>
        </m:sSub>
      </m:oMath>
      <w:r w:rsidRPr="0051213A">
        <w:t xml:space="preserve"> indicates the allele. </w:t>
      </w:r>
      <m:oMath>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 xml:space="preserve">=1 </m:t>
        </m:r>
      </m:oMath>
      <w:r w:rsidRPr="0051213A">
        <w:t xml:space="preserve">, </w:t>
      </w:r>
      <w:proofErr w:type="gramStart"/>
      <w:r w:rsidRPr="0051213A">
        <w:t>if</w:t>
      </w:r>
      <w:proofErr w:type="gramEnd"/>
      <w:r w:rsidRPr="0051213A">
        <w:t xml:space="preserve"> the allele is A, and 0 for a. </w:t>
      </w:r>
      <w:r w:rsidR="004E14DA">
        <w:t>S</w:t>
      </w:r>
      <w:r w:rsidRPr="0051213A">
        <w:t xml:space="preserve">imilar for </w:t>
      </w:r>
      <m:oMath>
        <m:sSub>
          <m:sSubPr>
            <m:ctrlPr>
              <w:rPr>
                <w:rFonts w:ascii="Cambria Math" w:hAnsi="Cambria Math"/>
                <w:i/>
              </w:rPr>
            </m:ctrlPr>
          </m:sSubPr>
          <m:e>
            <m:r>
              <w:rPr>
                <w:rFonts w:ascii="Cambria Math" w:hAnsi="Cambria Math"/>
              </w:rPr>
              <m:t>l</m:t>
            </m:r>
          </m:e>
          <m:sub>
            <m:r>
              <w:rPr>
                <w:rFonts w:ascii="Cambria Math" w:hAnsi="Cambria Math"/>
              </w:rPr>
              <m:t>B</m:t>
            </m:r>
          </m:sub>
        </m:sSub>
      </m:oMath>
      <w:r w:rsidRPr="0051213A">
        <w:t>.</w:t>
      </w:r>
    </w:p>
    <w:p w14:paraId="67FCF66C" w14:textId="77777777" w:rsidR="0051213A" w:rsidRPr="0051213A" w:rsidRDefault="0051213A" w:rsidP="0051213A">
      <w:pPr>
        <w:rPr>
          <w:lang w:val="en-US"/>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=1</m:t>
              </m:r>
            </m:e>
            <m:e>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t</m:t>
                  </m:r>
                </m:sup>
              </m:sSup>
            </m:num>
            <m:den>
              <m:sSub>
                <m:sSubPr>
                  <m:ctrlPr>
                    <w:rPr>
                      <w:rFonts w:ascii="Cambria Math" w:hAnsi="Cambria Math"/>
                      <w:i/>
                    </w:rPr>
                  </m:ctrlPr>
                </m:sSubPr>
                <m:e>
                  <m:r>
                    <w:rPr>
                      <w:rFonts w:ascii="Cambria Math" w:hAnsi="Cambria Math"/>
                    </w:rPr>
                    <m:t>f</m:t>
                  </m:r>
                </m:e>
                <m:sub>
                  <m:r>
                    <w:rPr>
                      <w:rFonts w:ascii="Cambria Math" w:hAnsi="Cambria Math"/>
                    </w:rPr>
                    <m:t>A</m:t>
                  </m:r>
                </m:sub>
              </m:sSub>
            </m:den>
          </m:f>
        </m:oMath>
      </m:oMathPara>
    </w:p>
    <w:p w14:paraId="6E867887" w14:textId="77777777" w:rsidR="0051213A" w:rsidRPr="0051213A" w:rsidRDefault="0051213A" w:rsidP="0051213A">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t</m:t>
                  </m:r>
                </m:sup>
              </m:sSup>
            </m:num>
            <m:den>
              <m:sSub>
                <m:sSubPr>
                  <m:ctrlPr>
                    <w:rPr>
                      <w:rFonts w:ascii="Cambria Math" w:hAnsi="Cambria Math"/>
                      <w:i/>
                    </w:rPr>
                  </m:ctrlPr>
                </m:sSubPr>
                <m:e>
                  <m:r>
                    <w:rPr>
                      <w:rFonts w:ascii="Cambria Math" w:hAnsi="Cambria Math"/>
                    </w:rPr>
                    <m:t>f</m:t>
                  </m:r>
                </m:e>
                <m:sub>
                  <m:r>
                    <w:rPr>
                      <w:rFonts w:ascii="Cambria Math" w:hAnsi="Cambria Math"/>
                    </w:rPr>
                    <m:t>A</m:t>
                  </m:r>
                </m:sub>
              </m:sSub>
            </m:den>
          </m:f>
        </m:oMath>
      </m:oMathPara>
    </w:p>
    <w:p w14:paraId="37CAD771" w14:textId="77777777" w:rsidR="0051213A" w:rsidRPr="0051213A" w:rsidRDefault="0051213A" w:rsidP="0051213A">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=1</m:t>
              </m:r>
            </m:e>
            <m:e>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=0)</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A</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A</m:t>
                      </m:r>
                    </m:sub>
                  </m:sSub>
                </m:e>
              </m:d>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t</m:t>
                  </m:r>
                </m:sup>
              </m:sSup>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A</m:t>
                  </m:r>
                </m:sub>
              </m:sSub>
            </m:den>
          </m:f>
        </m:oMath>
      </m:oMathPara>
    </w:p>
    <w:p w14:paraId="7BB7E263" w14:textId="77777777" w:rsidR="0051213A" w:rsidRPr="0051213A" w:rsidRDefault="0051213A" w:rsidP="0051213A"/>
    <w:p w14:paraId="5874F616" w14:textId="77777777" w:rsidR="0051213A" w:rsidRPr="0051213A" w:rsidRDefault="0051213A" w:rsidP="0051213A">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=0)</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A</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A</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t</m:t>
                  </m:r>
                </m:sup>
              </m:sSup>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A</m:t>
                  </m:r>
                </m:sub>
              </m:sSub>
            </m:den>
          </m:f>
        </m:oMath>
      </m:oMathPara>
    </w:p>
    <w:p w14:paraId="5528D726" w14:textId="54AACEFE" w:rsidR="00BA7096" w:rsidRPr="00BA7096" w:rsidRDefault="00BA7096" w:rsidP="00BA7096">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Pr="00BA7096">
        <w:rPr>
          <w:rFonts w:ascii="Cambria" w:hAnsi="Cambria"/>
          <w:noProof/>
        </w:rPr>
        <w:t xml:space="preserve">Devlin B., Risch N., 1995 A comparison of linkage disequilibrium measures for fine-scale mapping. Genomics </w:t>
      </w:r>
      <w:r w:rsidRPr="00BA7096">
        <w:rPr>
          <w:rFonts w:ascii="Cambria" w:hAnsi="Cambria"/>
          <w:b/>
          <w:bCs/>
          <w:noProof/>
        </w:rPr>
        <w:t>29</w:t>
      </w:r>
      <w:r w:rsidRPr="00BA7096">
        <w:rPr>
          <w:rFonts w:ascii="Cambria" w:hAnsi="Cambria"/>
          <w:noProof/>
        </w:rPr>
        <w:t>: 311–22.</w:t>
      </w:r>
    </w:p>
    <w:p w14:paraId="1AD2B089" w14:textId="77777777" w:rsidR="00BA7096" w:rsidRPr="00BA7096" w:rsidRDefault="00BA7096" w:rsidP="00BA7096">
      <w:pPr>
        <w:widowControl w:val="0"/>
        <w:autoSpaceDE w:val="0"/>
        <w:autoSpaceDN w:val="0"/>
        <w:adjustRightInd w:val="0"/>
        <w:ind w:left="480" w:hanging="480"/>
        <w:rPr>
          <w:rFonts w:ascii="Cambria" w:hAnsi="Cambria"/>
          <w:noProof/>
        </w:rPr>
      </w:pPr>
      <w:r w:rsidRPr="00BA7096">
        <w:rPr>
          <w:rFonts w:ascii="Cambria" w:hAnsi="Cambria"/>
          <w:noProof/>
        </w:rPr>
        <w:t xml:space="preserve">Lewontin R. C., 1964 The Interaction of Selection and Linkage. I. General Considerations; Heterotic Models. Genetics </w:t>
      </w:r>
      <w:r w:rsidRPr="00BA7096">
        <w:rPr>
          <w:rFonts w:ascii="Cambria" w:hAnsi="Cambria"/>
          <w:b/>
          <w:bCs/>
          <w:noProof/>
        </w:rPr>
        <w:t>49</w:t>
      </w:r>
      <w:r w:rsidRPr="00BA7096">
        <w:rPr>
          <w:rFonts w:ascii="Cambria" w:hAnsi="Cambria"/>
          <w:noProof/>
        </w:rPr>
        <w:t>: 49–67.</w:t>
      </w:r>
    </w:p>
    <w:p w14:paraId="1A11893B" w14:textId="56D38D1F" w:rsidR="008A69FC" w:rsidRPr="0051213A" w:rsidRDefault="00BA7096">
      <w:r>
        <w:fldChar w:fldCharType="end"/>
      </w:r>
      <w:bookmarkStart w:id="0" w:name="_GoBack"/>
      <w:bookmarkEnd w:id="0"/>
    </w:p>
    <w:sectPr w:rsidR="008A69FC" w:rsidRPr="0051213A" w:rsidSect="0051213A">
      <w:pgSz w:w="11900"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13A"/>
    <w:rsid w:val="004E14DA"/>
    <w:rsid w:val="0051213A"/>
    <w:rsid w:val="008A69FC"/>
    <w:rsid w:val="00BA7096"/>
    <w:rsid w:val="00D737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A218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21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21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13A"/>
    <w:rPr>
      <w:rFonts w:ascii="Lucida Grande" w:hAnsi="Lucida Grande" w:cs="Lucida Grande"/>
      <w:sz w:val="18"/>
      <w:szCs w:val="18"/>
    </w:rPr>
  </w:style>
  <w:style w:type="character" w:styleId="PlaceholderText">
    <w:name w:val="Placeholder Text"/>
    <w:basedOn w:val="DefaultParagraphFont"/>
    <w:uiPriority w:val="99"/>
    <w:semiHidden/>
    <w:rsid w:val="004E14D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21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21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13A"/>
    <w:rPr>
      <w:rFonts w:ascii="Lucida Grande" w:hAnsi="Lucida Grande" w:cs="Lucida Grande"/>
      <w:sz w:val="18"/>
      <w:szCs w:val="18"/>
    </w:rPr>
  </w:style>
  <w:style w:type="character" w:styleId="PlaceholderText">
    <w:name w:val="Placeholder Text"/>
    <w:basedOn w:val="DefaultParagraphFont"/>
    <w:uiPriority w:val="99"/>
    <w:semiHidden/>
    <w:rsid w:val="004E14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9AA74-203B-7E41-AE66-559512505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1121</Words>
  <Characters>6394</Characters>
  <Application>Microsoft Macintosh Word</Application>
  <DocSecurity>0</DocSecurity>
  <Lines>53</Lines>
  <Paragraphs>14</Paragraphs>
  <ScaleCrop>false</ScaleCrop>
  <Company>qbi</Company>
  <LinksUpToDate>false</LinksUpToDate>
  <CharactersWithSpaces>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3</cp:revision>
  <cp:lastPrinted>2018-01-22T06:15:00Z</cp:lastPrinted>
  <dcterms:created xsi:type="dcterms:W3CDTF">2015-04-29T01:19:00Z</dcterms:created>
  <dcterms:modified xsi:type="dcterms:W3CDTF">2018-01-22T06:19:00Z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http://www.zotero.org/styles/genetics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http://www.zotero.org/styles/european-journal-of-human-genetics</vt:lpwstr>
  </property>
  <property fmtid="{D5CDD505-2E9C-101B-9397-08002B2CF9AE}" pid="10" name="Mendeley Recent Style Name 2_1">
    <vt:lpwstr>European Journal of Human Genetics</vt:lpwstr>
  </property>
  <property fmtid="{D5CDD505-2E9C-101B-9397-08002B2CF9AE}" pid="11" name="Mendeley Recent Style Id 3_1">
    <vt:lpwstr>http://www.zotero.org/styles/g3</vt:lpwstr>
  </property>
  <property fmtid="{D5CDD505-2E9C-101B-9397-08002B2CF9AE}" pid="12" name="Mendeley Recent Style Name 3_1">
    <vt:lpwstr>G3: Genes, Genomes, Genetics</vt:lpwstr>
  </property>
  <property fmtid="{D5CDD505-2E9C-101B-9397-08002B2CF9AE}" pid="13" name="Mendeley Recent Style Id 4_1">
    <vt:lpwstr>http://www.zotero.org/styles/genetics</vt:lpwstr>
  </property>
  <property fmtid="{D5CDD505-2E9C-101B-9397-08002B2CF9AE}" pid="14" name="Mendeley Recent Style Name 4_1">
    <vt:lpwstr>Genetics</vt:lpwstr>
  </property>
  <property fmtid="{D5CDD505-2E9C-101B-9397-08002B2CF9AE}" pid="15" name="Mendeley Recent Style Id 5_1">
    <vt:lpwstr>http://www.zotero.org/styles/genome-research</vt:lpwstr>
  </property>
  <property fmtid="{D5CDD505-2E9C-101B-9397-08002B2CF9AE}" pid="16" name="Mendeley Recent Style Name 5_1">
    <vt:lpwstr>Genome Research</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http://www.zotero.org/styles/plos-genetics</vt:lpwstr>
  </property>
  <property fmtid="{D5CDD505-2E9C-101B-9397-08002B2CF9AE}" pid="22" name="Mendeley Recent Style Name 8_1">
    <vt:lpwstr>PLOS Genetics</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ies>
</file>