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8D866D2" w:rsidR="00451E74"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50ED806C" w14:textId="26A1BC88" w:rsidR="00212A55" w:rsidRDefault="00212A55">
      <w:pPr>
        <w:rPr>
          <w:rFonts w:ascii="Kaiti SC Regular" w:eastAsia="Kaiti SC Regular" w:hAnsi="Kaiti SC Regular"/>
          <w:sz w:val="20"/>
          <w:szCs w:val="20"/>
          <w:lang w:val="en-AU"/>
        </w:rPr>
      </w:pPr>
      <w:r>
        <w:rPr>
          <w:rFonts w:ascii="Kaiti SC Regular" w:eastAsia="Kaiti SC Regular" w:hAnsi="Kaiti SC Regular" w:hint="eastAsia"/>
          <w:sz w:val="20"/>
          <w:szCs w:val="20"/>
          <w:lang w:val="en-AU"/>
        </w:rPr>
        <w:t>这个故事典出《圣经》的但以理书（Daniel）</w:t>
      </w:r>
    </w:p>
    <w:p w14:paraId="25CA67ED" w14:textId="27A2688B" w:rsidR="00212A55" w:rsidRDefault="00212A55">
      <w:pPr>
        <w:rPr>
          <w:rFonts w:ascii="Kaiti SC Regular" w:eastAsia="Kaiti SC Regular" w:hAnsi="Kaiti SC Regular" w:hint="eastAsia"/>
          <w:sz w:val="20"/>
          <w:szCs w:val="20"/>
          <w:lang w:val="en-AU"/>
        </w:rPr>
      </w:pPr>
      <w:r>
        <w:rPr>
          <w:rFonts w:ascii="Kaiti SC Regular" w:eastAsia="Kaiti SC Regular" w:hAnsi="Kaiti SC Regular" w:hint="eastAsia"/>
          <w:sz w:val="20"/>
          <w:szCs w:val="20"/>
          <w:lang w:val="en-AU"/>
        </w:rPr>
        <w:t>Dan是被俘获的犹大国后裔，但拒绝尼布甲尼撒二世宫殿的不洁净饮食。于是要求只吃素菜和水，十天后，与吃宫廷饮食的人比较，显得更有智慧[</w:t>
      </w:r>
      <w:r>
        <w:rPr>
          <w:rFonts w:ascii="Kaiti SC Regular" w:eastAsia="Kaiti SC Regular" w:hAnsi="Kaiti SC Regular"/>
          <w:sz w:val="20"/>
          <w:szCs w:val="20"/>
          <w:lang w:val="en-AU"/>
        </w:rPr>
        <w:t>Dan 1:8-16]</w:t>
      </w:r>
      <w:r>
        <w:rPr>
          <w:rFonts w:ascii="Kaiti SC Regular" w:eastAsia="Kaiti SC Regular" w:hAnsi="Kaiti SC Regular" w:hint="eastAsia"/>
          <w:sz w:val="20"/>
          <w:szCs w:val="20"/>
          <w:lang w:val="en-AU"/>
        </w:rPr>
        <w:t>。但实质上，这个故事要说明的是Dan为了捍卫自己的习俗所做的努力</w:t>
      </w:r>
      <w:r w:rsidR="00F01431">
        <w:rPr>
          <w:rFonts w:ascii="Kaiti SC Regular" w:eastAsia="Kaiti SC Regular" w:hAnsi="Kaiti SC Regular" w:hint="eastAsia"/>
          <w:sz w:val="20"/>
          <w:szCs w:val="20"/>
          <w:lang w:val="en-AU"/>
        </w:rPr>
        <w:t>和搏斗的勇气</w:t>
      </w:r>
      <w:r>
        <w:rPr>
          <w:rFonts w:ascii="Kaiti SC Regular" w:eastAsia="Kaiti SC Regular" w:hAnsi="Kaiti SC Regular" w:hint="eastAsia"/>
          <w:sz w:val="20"/>
          <w:szCs w:val="20"/>
          <w:lang w:val="en-AU"/>
        </w:rPr>
        <w:t>。</w:t>
      </w:r>
      <w:r w:rsidR="00F01431">
        <w:rPr>
          <w:rFonts w:ascii="Kaiti SC Regular" w:eastAsia="Kaiti SC Regular" w:hAnsi="Kaiti SC Regular" w:hint="eastAsia"/>
          <w:sz w:val="20"/>
          <w:szCs w:val="20"/>
          <w:lang w:val="en-AU"/>
        </w:rPr>
        <w:t>当然，他的搏斗获得了回报，王很赏识他。最终最为高官，活到8</w:t>
      </w:r>
      <w:r w:rsidR="00F01431">
        <w:rPr>
          <w:rFonts w:ascii="Kaiti SC Regular" w:eastAsia="Kaiti SC Regular" w:hAnsi="Kaiti SC Regular"/>
          <w:sz w:val="20"/>
          <w:szCs w:val="20"/>
          <w:lang w:val="en-AU"/>
        </w:rPr>
        <w:t>0</w:t>
      </w:r>
      <w:r w:rsidR="00F01431">
        <w:rPr>
          <w:rFonts w:ascii="Kaiti SC Regular" w:eastAsia="Kaiti SC Regular" w:hAnsi="Kaiti SC Regular" w:hint="eastAsia"/>
          <w:sz w:val="20"/>
          <w:szCs w:val="20"/>
          <w:lang w:val="en-AU"/>
        </w:rPr>
        <w:t>多岁。</w:t>
      </w:r>
      <w:r w:rsidR="00EB3722">
        <w:rPr>
          <w:rFonts w:ascii="Kaiti SC Regular" w:eastAsia="Kaiti SC Regular" w:hAnsi="Kaiti SC Regular" w:hint="eastAsia"/>
          <w:sz w:val="20"/>
          <w:szCs w:val="20"/>
          <w:lang w:val="en-AU"/>
        </w:rPr>
        <w:t>这个故事发生的时候，Dan应该还非常年幼，大概十三四岁。</w:t>
      </w:r>
      <w:bookmarkStart w:id="4" w:name="_GoBack"/>
      <w:bookmarkEnd w:id="4"/>
    </w:p>
    <w:p w14:paraId="7C335408" w14:textId="6DC09DC8" w:rsidR="00212A55" w:rsidRPr="00212A55" w:rsidRDefault="00212A55" w:rsidP="00212A55">
      <w:r>
        <w:rPr>
          <w:rFonts w:ascii="Microsoft YaHei" w:eastAsia="Microsoft YaHei" w:hAnsi="Microsoft YaHei" w:hint="eastAsia"/>
          <w:color w:val="000000"/>
          <w:sz w:val="21"/>
          <w:szCs w:val="21"/>
          <w:shd w:val="clear" w:color="auto" w:fill="E0F0F7"/>
        </w:rPr>
        <w:t>8</w:t>
      </w:r>
      <w:r>
        <w:rPr>
          <w:rFonts w:ascii="Microsoft YaHei" w:eastAsia="Microsoft YaHei" w:hAnsi="Microsoft YaHei"/>
          <w:color w:val="000000"/>
          <w:sz w:val="21"/>
          <w:szCs w:val="21"/>
          <w:shd w:val="clear" w:color="auto" w:fill="E0F0F7"/>
        </w:rPr>
        <w:t>:</w:t>
      </w:r>
      <w:r w:rsidRPr="00212A55">
        <w:rPr>
          <w:rFonts w:ascii="Microsoft YaHei" w:eastAsia="Microsoft YaHei" w:hAnsi="Microsoft YaHei" w:hint="eastAsia"/>
          <w:color w:val="000000"/>
          <w:sz w:val="21"/>
          <w:szCs w:val="21"/>
          <w:shd w:val="clear" w:color="auto" w:fill="E0F0F7"/>
        </w:rPr>
        <w:t>但以理却立志不以王的膳和王所饮的酒玷污自己，所以求太监长容他不玷污自己。</w:t>
      </w:r>
    </w:p>
    <w:p w14:paraId="79FAA548" w14:textId="5B907FC2" w:rsidR="00212A55" w:rsidRPr="00212A55" w:rsidRDefault="00212A55" w:rsidP="00212A55">
      <w:r>
        <w:rPr>
          <w:rFonts w:ascii="Microsoft YaHei" w:eastAsia="Microsoft YaHei" w:hAnsi="Microsoft YaHei"/>
          <w:color w:val="000000"/>
          <w:sz w:val="21"/>
          <w:szCs w:val="21"/>
          <w:shd w:val="clear" w:color="auto" w:fill="E0F0F7"/>
        </w:rPr>
        <w:t>9:</w:t>
      </w:r>
      <w:r w:rsidRPr="00212A55">
        <w:rPr>
          <w:rFonts w:ascii="Microsoft YaHei" w:eastAsia="Microsoft YaHei" w:hAnsi="Microsoft YaHei" w:hint="eastAsia"/>
          <w:color w:val="000000"/>
          <w:sz w:val="21"/>
          <w:szCs w:val="21"/>
          <w:shd w:val="clear" w:color="auto" w:fill="E0F0F7"/>
        </w:rPr>
        <w:t>神使但以理在太监长眼前蒙恩惠，受怜悯。</w:t>
      </w:r>
    </w:p>
    <w:p w14:paraId="10BC90A0" w14:textId="041071EE"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0:</w:t>
      </w:r>
      <w:r w:rsidRPr="00212A55">
        <w:rPr>
          <w:rFonts w:ascii="Microsoft YaHei" w:eastAsia="Microsoft YaHei" w:hAnsi="Microsoft YaHei" w:hint="eastAsia"/>
          <w:color w:val="000000"/>
          <w:sz w:val="21"/>
          <w:szCs w:val="21"/>
          <w:shd w:val="clear" w:color="auto" w:fill="E0F0F7"/>
        </w:rPr>
        <w:t>太监长对但以理说：“我惧怕我主我王，他已经派定你们的饮食，倘若他见你们的面貌比你们同岁的少年人肌瘦，怎么好呢？这样，你们就使我的头在王那里难保。”</w:t>
      </w:r>
    </w:p>
    <w:p w14:paraId="76AB1FA4" w14:textId="3A10ED87"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1:</w:t>
      </w:r>
      <w:r w:rsidRPr="00212A55">
        <w:rPr>
          <w:rFonts w:ascii="Microsoft YaHei" w:eastAsia="Microsoft YaHei" w:hAnsi="Microsoft YaHei" w:hint="eastAsia"/>
          <w:color w:val="000000"/>
          <w:sz w:val="21"/>
          <w:szCs w:val="21"/>
          <w:shd w:val="clear" w:color="auto" w:fill="E0F0F7"/>
        </w:rPr>
        <w:t>但以理对太监长所派管理但以理、哈拿尼雅、米沙利、亚撒利雅的委办说：</w:t>
      </w:r>
    </w:p>
    <w:p w14:paraId="4437410B" w14:textId="3F665154"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2:</w:t>
      </w:r>
      <w:r w:rsidRPr="00212A55">
        <w:rPr>
          <w:rFonts w:ascii="Microsoft YaHei" w:eastAsia="Microsoft YaHei" w:hAnsi="Microsoft YaHei" w:hint="eastAsia"/>
          <w:color w:val="000000"/>
          <w:sz w:val="21"/>
          <w:szCs w:val="21"/>
          <w:shd w:val="clear" w:color="auto" w:fill="E0F0F7"/>
        </w:rPr>
        <w:t>“求你试试仆人们十天，给我们素菜吃，白水喝，</w:t>
      </w:r>
    </w:p>
    <w:p w14:paraId="0528D8BB" w14:textId="73D96313"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3:</w:t>
      </w:r>
      <w:r w:rsidRPr="00212A55">
        <w:rPr>
          <w:rFonts w:ascii="Microsoft YaHei" w:eastAsia="Microsoft YaHei" w:hAnsi="Microsoft YaHei" w:hint="eastAsia"/>
          <w:color w:val="000000"/>
          <w:sz w:val="21"/>
          <w:szCs w:val="21"/>
          <w:shd w:val="clear" w:color="auto" w:fill="E0F0F7"/>
        </w:rPr>
        <w:t>然后看看我们的面貌和用王膳那少年人的面貌，就照你所看的待仆人吧！”</w:t>
      </w:r>
    </w:p>
    <w:p w14:paraId="4476EA07" w14:textId="59C1D610"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4:</w:t>
      </w:r>
      <w:r w:rsidRPr="00212A55">
        <w:rPr>
          <w:rFonts w:ascii="Microsoft YaHei" w:eastAsia="Microsoft YaHei" w:hAnsi="Microsoft YaHei" w:hint="eastAsia"/>
          <w:color w:val="000000"/>
          <w:sz w:val="21"/>
          <w:szCs w:val="21"/>
          <w:shd w:val="clear" w:color="auto" w:fill="E0F0F7"/>
        </w:rPr>
        <w:t>委办便允准他们这件事，试看他们十天。</w:t>
      </w:r>
    </w:p>
    <w:p w14:paraId="2577844A" w14:textId="68C5CC59"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5:</w:t>
      </w:r>
      <w:r w:rsidRPr="00212A55">
        <w:rPr>
          <w:rFonts w:ascii="Microsoft YaHei" w:eastAsia="Microsoft YaHei" w:hAnsi="Microsoft YaHei" w:hint="eastAsia"/>
          <w:color w:val="000000"/>
          <w:sz w:val="21"/>
          <w:szCs w:val="21"/>
          <w:shd w:val="clear" w:color="auto" w:fill="E0F0F7"/>
        </w:rPr>
        <w:t>过了十天，见他们的面貌比用王膳的一切少年人更加俊美肥胖。</w:t>
      </w:r>
    </w:p>
    <w:p w14:paraId="1413EDD7" w14:textId="2F368CBF"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6:</w:t>
      </w:r>
      <w:r w:rsidRPr="00212A55">
        <w:rPr>
          <w:rFonts w:ascii="Microsoft YaHei" w:eastAsia="Microsoft YaHei" w:hAnsi="Microsoft YaHei" w:hint="eastAsia"/>
          <w:color w:val="000000"/>
          <w:sz w:val="21"/>
          <w:szCs w:val="21"/>
          <w:shd w:val="clear" w:color="auto" w:fill="E0F0F7"/>
        </w:rPr>
        <w:t>于是，委办撤去派他们用的膳、饮的酒，给他们素菜吃。</w:t>
      </w:r>
    </w:p>
    <w:p w14:paraId="554E1D93" w14:textId="30D183F1" w:rsidR="0089740D" w:rsidRDefault="0089740D">
      <w:pPr>
        <w:rPr>
          <w:rFonts w:ascii="Kaiti SC Regular" w:eastAsia="Kaiti SC Regular" w:hAnsi="Kaiti SC Regular"/>
          <w:sz w:val="20"/>
          <w:szCs w:val="20"/>
        </w:rPr>
      </w:pPr>
    </w:p>
    <w:p w14:paraId="70BF91D5" w14:textId="4009F7C9" w:rsidR="0089740D" w:rsidRDefault="0089740D">
      <w:pPr>
        <w:rPr>
          <w:rFonts w:ascii="Kaiti SC Regular" w:eastAsia="Kaiti SC Regular" w:hAnsi="Kaiti SC Regular"/>
          <w:sz w:val="20"/>
          <w:szCs w:val="20"/>
        </w:rPr>
      </w:pPr>
      <w:r>
        <w:rPr>
          <w:rFonts w:ascii="Kaiti SC Regular" w:eastAsia="Kaiti SC Regular" w:hAnsi="Kaiti SC Regular" w:hint="eastAsia"/>
          <w:sz w:val="20"/>
          <w:szCs w:val="20"/>
        </w:rPr>
        <w:t>Daniel作为亡国之人，被选入宫中是不幸之大幸，但为了捍卫信仰，拒绝不洁的饮食（动物不是按照摩西律法宰杀）。</w:t>
      </w:r>
    </w:p>
    <w:p w14:paraId="28C902FF" w14:textId="63060252" w:rsidR="00212A55" w:rsidRDefault="0089740D">
      <w:pPr>
        <w:rPr>
          <w:rFonts w:ascii="Kaiti SC Regular" w:eastAsia="Kaiti SC Regular" w:hAnsi="Kaiti SC Regular"/>
          <w:sz w:val="20"/>
          <w:szCs w:val="20"/>
        </w:rPr>
      </w:pPr>
      <w:r>
        <w:rPr>
          <w:rFonts w:ascii="Kaiti SC Regular" w:eastAsia="Kaiti SC Regular" w:hAnsi="Kaiti SC Regular" w:hint="eastAsia"/>
          <w:sz w:val="20"/>
          <w:szCs w:val="20"/>
        </w:rPr>
        <w:t>Daniel一生经历世事动荡，但一直活到8</w:t>
      </w:r>
      <w:r>
        <w:rPr>
          <w:rFonts w:ascii="Kaiti SC Regular" w:eastAsia="Kaiti SC Regular" w:hAnsi="Kaiti SC Regular"/>
          <w:sz w:val="20"/>
          <w:szCs w:val="20"/>
        </w:rPr>
        <w:t>0</w:t>
      </w:r>
      <w:r>
        <w:rPr>
          <w:rFonts w:ascii="Kaiti SC Regular" w:eastAsia="Kaiti SC Regular" w:hAnsi="Kaiti SC Regular" w:hint="eastAsia"/>
          <w:sz w:val="20"/>
          <w:szCs w:val="20"/>
        </w:rPr>
        <w:t>多岁。</w:t>
      </w:r>
    </w:p>
    <w:p w14:paraId="7893EAD0" w14:textId="1D19524D" w:rsidR="00F01431" w:rsidRPr="00212A55" w:rsidRDefault="00F01431">
      <w:pPr>
        <w:rPr>
          <w:rFonts w:ascii="Kaiti SC Regular" w:eastAsia="Kaiti SC Regular" w:hAnsi="Kaiti SC Regular"/>
          <w:sz w:val="20"/>
          <w:szCs w:val="20"/>
        </w:rPr>
      </w:pPr>
      <w:r>
        <w:rPr>
          <w:rFonts w:ascii="Kaiti SC Regular" w:eastAsia="Kaiti SC Regular" w:hAnsi="Kaiti SC Regular" w:hint="eastAsia"/>
          <w:sz w:val="20"/>
          <w:szCs w:val="20"/>
        </w:rPr>
        <w:t>所以这个故事更多是为了显示Daniel对神的忠诚，以及搏斗的勇气。</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5" w:name="_Toc431249750"/>
      <w:bookmarkStart w:id="6"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5"/>
      <w:bookmarkEnd w:id="6"/>
    </w:p>
    <w:p w14:paraId="1438A0C4" w14:textId="77777777" w:rsidR="00684739" w:rsidRDefault="000B363A" w:rsidP="00684739">
      <w:pPr>
        <w:pStyle w:val="Heading3"/>
        <w:rPr>
          <w:lang w:val="en-US" w:eastAsia="zh-CN"/>
        </w:rPr>
      </w:pPr>
      <w:bookmarkStart w:id="7" w:name="_Toc431249751"/>
      <w:bookmarkStart w:id="8" w:name="_Toc431249954"/>
      <w:r>
        <w:rPr>
          <w:rFonts w:hint="eastAsia"/>
          <w:lang w:val="en-US" w:eastAsia="zh-CN"/>
        </w:rPr>
        <w:t>1747.5.20 James Lind</w:t>
      </w:r>
      <w:bookmarkEnd w:id="7"/>
      <w:bookmarkEnd w:id="8"/>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color w:val="424242"/>
          <w:sz w:val="16"/>
          <w:szCs w:val="16"/>
        </w:rPr>
      </w:pPr>
      <w:r>
        <w:rPr>
          <w:rFonts w:ascii="Kaiti SC Regular" w:eastAsia="Kaiti SC Regular" w:hAnsi="Kaiti SC Regular" w:hint="eastAsia"/>
          <w:sz w:val="16"/>
          <w:szCs w:val="16"/>
        </w:rPr>
        <w:t xml:space="preserve">来源 </w:t>
      </w:r>
      <w:hyperlink r:id="rId8"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9" w:name="_Toc431249752"/>
      <w:bookmarkStart w:id="10" w:name="_Toc431249955"/>
      <w:r>
        <w:rPr>
          <w:rFonts w:hint="eastAsia"/>
          <w:lang w:val="en-US" w:eastAsia="zh-CN"/>
        </w:rPr>
        <w:lastRenderedPageBreak/>
        <w:t>Statistical methods</w:t>
      </w:r>
      <w:bookmarkEnd w:id="9"/>
      <w:bookmarkEnd w:id="10"/>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9"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10"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1" w:name="_Toc431249753"/>
      <w:bookmarkStart w:id="12" w:name="_Toc431249956"/>
      <w:r>
        <w:rPr>
          <w:rFonts w:hint="eastAsia"/>
          <w:lang w:val="en-US" w:eastAsia="zh-CN"/>
        </w:rPr>
        <w:t>知情同意</w:t>
      </w:r>
      <w:r>
        <w:rPr>
          <w:rFonts w:ascii="SimSun" w:eastAsia="SimSun" w:hAnsi="SimSun" w:cs="SimSun" w:hint="eastAsia"/>
          <w:lang w:val="en-US" w:eastAsia="zh-CN"/>
        </w:rPr>
        <w:t>书</w:t>
      </w:r>
      <w:bookmarkEnd w:id="11"/>
      <w:bookmarkEnd w:id="12"/>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br w:type="page"/>
      </w:r>
    </w:p>
    <w:p w14:paraId="0D87E361" w14:textId="3EB3C596" w:rsidR="007F2DC8" w:rsidRDefault="007F2DC8" w:rsidP="007446DA">
      <w:pPr>
        <w:pStyle w:val="Heading1"/>
        <w:rPr>
          <w:lang w:val="en-US" w:eastAsia="zh-CN"/>
        </w:rPr>
      </w:pPr>
      <w:bookmarkStart w:id="13" w:name="_Toc431249754"/>
      <w:bookmarkStart w:id="14" w:name="_Toc431249957"/>
      <w:r>
        <w:rPr>
          <w:rFonts w:hint="eastAsia"/>
          <w:lang w:val="en-US" w:eastAsia="zh-CN"/>
        </w:rPr>
        <w:lastRenderedPageBreak/>
        <w:t>Biostatistics</w:t>
      </w:r>
      <w:bookmarkEnd w:id="13"/>
      <w:bookmarkEnd w:id="14"/>
    </w:p>
    <w:p w14:paraId="11AFDAEB" w14:textId="226E3187" w:rsidR="00B076D9" w:rsidRDefault="00B076D9" w:rsidP="00B076D9"/>
    <w:p w14:paraId="6AC0A225" w14:textId="0EE49FB5" w:rsidR="00B076D9" w:rsidRDefault="00B076D9" w:rsidP="00B076D9">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[Johns Hopkins School of Public Health</w:t>
      </w:r>
    </w:p>
    <w:p w14:paraId="524E2898" w14:textId="7EB664AA" w:rsid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b/>
          <w:bCs/>
          <w:color w:val="000000"/>
          <w:sz w:val="23"/>
          <w:szCs w:val="23"/>
        </w:rPr>
        <w:t>Introduction to Biostatistics</w:t>
      </w:r>
      <w:r>
        <w:rPr>
          <w:rFonts w:ascii="Arial" w:hAnsi="Arial" w:cs="Arial"/>
          <w:color w:val="000000"/>
          <w:sz w:val="23"/>
          <w:szCs w:val="23"/>
        </w:rPr>
        <w:t xml:space="preserve"> </w:t>
      </w:r>
      <w:hyperlink r:id="rId11" w:history="1">
        <w:r w:rsidRPr="00B076D9">
          <w:rPr>
            <w:rStyle w:val="Hyperlink"/>
            <w:rFonts w:ascii="Arial" w:hAnsi="Arial" w:cs="Arial"/>
            <w:sz w:val="23"/>
            <w:szCs w:val="23"/>
          </w:rPr>
          <w:t>syllabus</w:t>
        </w:r>
      </w:hyperlink>
      <w:r>
        <w:rPr>
          <w:rFonts w:ascii="Arial" w:hAnsi="Arial" w:cs="Arial"/>
          <w:color w:val="000000"/>
          <w:sz w:val="23"/>
          <w:szCs w:val="23"/>
        </w:rPr>
        <w:t>]</w:t>
      </w:r>
    </w:p>
    <w:p w14:paraId="7347A684" w14:textId="3FBD0AA5" w:rsidR="00B076D9" w:rsidRP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color w:val="000000"/>
          <w:sz w:val="23"/>
          <w:szCs w:val="23"/>
        </w:rPr>
        <w:t>Upon completion of the course, students are able to:</w:t>
      </w:r>
    </w:p>
    <w:p w14:paraId="1ECC1E66" w14:textId="77777777" w:rsidR="00B076D9" w:rsidRPr="00B24E5E" w:rsidRDefault="00B076D9" w:rsidP="00B076D9">
      <w:pPr>
        <w:numPr>
          <w:ilvl w:val="0"/>
          <w:numId w:val="1"/>
        </w:numPr>
        <w:shd w:val="clear" w:color="auto" w:fill="FFFFFF"/>
        <w:spacing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Recognize and give examples of different types of data arising in public health and clinical studies</w:t>
      </w:r>
    </w:p>
    <w:p w14:paraId="17B7000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24E5E">
        <w:rPr>
          <w:rFonts w:ascii="Arial" w:hAnsi="Arial" w:cs="Arial"/>
          <w:color w:val="000000"/>
          <w:sz w:val="23"/>
          <w:szCs w:val="23"/>
          <w:highlight w:val="yellow"/>
        </w:rPr>
        <w:t>Interpret differences in data distributions via visual displays</w:t>
      </w:r>
    </w:p>
    <w:p w14:paraId="6289DA1F"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standard normal scores and resulting probabilities</w:t>
      </w:r>
    </w:p>
    <w:p w14:paraId="5D81CA9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and interpret confidence intervals for population means and proportions</w:t>
      </w:r>
    </w:p>
    <w:p w14:paraId="57455825"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Interpret and explain a p-value</w:t>
      </w:r>
    </w:p>
    <w:p w14:paraId="1A536F1E"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Perform a two-sample t-test and interpret the results; calculate a 95% confidence interval for the difference in population means</w:t>
      </w:r>
    </w:p>
    <w:p w14:paraId="0DDA860D"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Select an appropriate test for comparing two populations on a continuous measure, when the two sample t-test is not appropriate</w:t>
      </w:r>
    </w:p>
    <w:p w14:paraId="1355646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Understand and interpret results from Analysis of Variance (ANOVA), a technique used to compare means amongst more than two independent populations</w:t>
      </w:r>
    </w:p>
    <w:p w14:paraId="4DF8DE4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Choose an appropriate method for comparing proportions between two groups; construct a 95% confidence interval for the difference in population proportions</w:t>
      </w:r>
    </w:p>
    <w:p w14:paraId="5F73A84C"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relative risks and odds ratios when comparing two populations</w:t>
      </w:r>
    </w:p>
    <w:p w14:paraId="730C646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why survival (timed to event) data requires its own type of analysis techniques</w:t>
      </w:r>
    </w:p>
    <w:p w14:paraId="3D74490A"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Construct a Kaplan-Meier estimate of the survival function that describes the "survival experience" of a cohort of subjects</w:t>
      </w:r>
    </w:p>
    <w:p w14:paraId="3122D01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the result of a log-rank test in the context of comparing the "survival experience" of multiple cohorts</w:t>
      </w:r>
    </w:p>
    <w:p w14:paraId="1F95B27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Describe different kinds of studies</w:t>
      </w:r>
    </w:p>
    <w:p w14:paraId="4CEC23D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confounding and interaction in studies</w:t>
      </w:r>
    </w:p>
    <w:p w14:paraId="786EDECF" w14:textId="0EE03C93" w:rsidR="00B076D9" w:rsidRDefault="00B076D9" w:rsidP="00B076D9"/>
    <w:p w14:paraId="4B8091F8" w14:textId="58A10401" w:rsidR="00B076D9" w:rsidRDefault="00B076D9" w:rsidP="00B076D9"/>
    <w:p w14:paraId="34237600" w14:textId="77777777" w:rsidR="00B076D9" w:rsidRPr="00B076D9" w:rsidRDefault="00B076D9" w:rsidP="00B076D9"/>
    <w:p w14:paraId="1820B256" w14:textId="77777777" w:rsidR="009F3118" w:rsidRDefault="009F3118" w:rsidP="009F3118">
      <w:pPr>
        <w:pStyle w:val="Heading2"/>
        <w:rPr>
          <w:rFonts w:ascii="Kaiti SC Regular" w:eastAsia="Kaiti SC Regular" w:hAnsi="Kaiti SC Regular"/>
          <w:lang w:eastAsia="zh-CN"/>
        </w:rPr>
      </w:pPr>
      <w:bookmarkStart w:id="15" w:name="_Toc431249755"/>
      <w:bookmarkStart w:id="16" w:name="_Toc431249958"/>
      <w:r>
        <w:rPr>
          <w:rFonts w:ascii="Kaiti SC Regular" w:eastAsia="Kaiti SC Regular" w:hAnsi="Kaiti SC Regular" w:hint="eastAsia"/>
          <w:lang w:eastAsia="zh-CN"/>
        </w:rPr>
        <w:t>生物统计学需要遵循的法规</w:t>
      </w:r>
      <w:bookmarkEnd w:id="15"/>
      <w:bookmarkEnd w:id="16"/>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7" w:name="_Toc431249756"/>
      <w:bookmarkStart w:id="18"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7"/>
      <w:bookmarkEnd w:id="18"/>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9" w:name="_Toc431249757"/>
      <w:bookmarkStart w:id="20"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9"/>
      <w:bookmarkEnd w:id="20"/>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lastRenderedPageBreak/>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1" w:name="_Toc431249758"/>
      <w:bookmarkStart w:id="22"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1"/>
      <w:bookmarkEnd w:id="22"/>
      <w:proofErr w:type="spellEnd"/>
    </w:p>
    <w:p w14:paraId="7F39BB1A" w14:textId="50C0AEC2" w:rsidR="007F2DC8" w:rsidRDefault="007E026E" w:rsidP="007F2DC8">
      <w:pPr>
        <w:rPr>
          <w:rFonts w:ascii="STKaiti" w:eastAsia="STKaiti" w:hAnsi="STKaiti"/>
          <w:sz w:val="20"/>
          <w:szCs w:val="20"/>
        </w:rPr>
      </w:pPr>
      <w:r>
        <w:rPr>
          <w:rFonts w:ascii="STKaiti" w:eastAsia="STKaiti" w:hAnsi="STKaiti" w:hint="eastAsia"/>
          <w:sz w:val="20"/>
          <w:szCs w:val="20"/>
        </w:rPr>
        <w:t>硬币的例子</w:t>
      </w:r>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3" w:name="_Toc431249759"/>
      <w:bookmarkStart w:id="24" w:name="_Toc431249962"/>
      <w:proofErr w:type="spellStart"/>
      <w:r w:rsidRPr="007F2DC8">
        <w:rPr>
          <w:rFonts w:ascii="STKaiti" w:eastAsia="STKaiti" w:hAnsi="STKaiti" w:hint="eastAsia"/>
        </w:rPr>
        <w:t>泊松分布</w:t>
      </w:r>
      <w:bookmarkEnd w:id="23"/>
      <w:bookmarkEnd w:id="24"/>
      <w:proofErr w:type="spellEnd"/>
    </w:p>
    <w:p w14:paraId="64CBE222" w14:textId="0AFD19ED" w:rsidR="007F2DC8" w:rsidRDefault="007E026E" w:rsidP="007F2DC8">
      <w:pPr>
        <w:rPr>
          <w:rFonts w:ascii="STKaiti" w:eastAsia="STKaiti" w:hAnsi="STKaiti"/>
          <w:sz w:val="20"/>
          <w:szCs w:val="20"/>
        </w:rPr>
      </w:pPr>
      <w:r>
        <w:rPr>
          <w:rFonts w:ascii="STKaiti" w:eastAsia="STKaiti" w:hAnsi="STKaiti" w:hint="eastAsia"/>
          <w:sz w:val="20"/>
          <w:szCs w:val="20"/>
        </w:rPr>
        <w:t>公交车等人的例子</w:t>
      </w:r>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5" w:name="_Toc431249760"/>
      <w:bookmarkStart w:id="26"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13B95F84" w:rsidR="007E026E" w:rsidRDefault="007E026E" w:rsidP="007F2DC8">
      <w:pPr>
        <w:rPr>
          <w:rFonts w:ascii="STKaiti" w:eastAsia="STKaiti" w:hAnsi="STKaiti"/>
          <w:sz w:val="20"/>
          <w:szCs w:val="20"/>
        </w:rPr>
      </w:pPr>
    </w:p>
    <w:p w14:paraId="4991FFC7" w14:textId="5FE52854" w:rsidR="007F468F" w:rsidRDefault="007F468F" w:rsidP="007F2DC8">
      <w:pPr>
        <w:rPr>
          <w:rFonts w:ascii="STKaiti" w:eastAsia="STKaiti" w:hAnsi="STKaiti"/>
          <w:sz w:val="20"/>
          <w:szCs w:val="20"/>
          <w:lang w:val="en-AU"/>
        </w:rPr>
      </w:pPr>
      <w:r>
        <w:rPr>
          <w:rFonts w:ascii="STKaiti" w:eastAsia="STKaiti" w:hAnsi="STKaiti"/>
          <w:sz w:val="20"/>
          <w:szCs w:val="20"/>
        </w:rPr>
        <w:t>t</w:t>
      </w:r>
      <w:r>
        <w:rPr>
          <w:rFonts w:ascii="STKaiti" w:eastAsia="STKaiti" w:hAnsi="STKaiti" w:hint="eastAsia"/>
          <w:sz w:val="20"/>
          <w:szCs w:val="20"/>
          <w:lang w:val="en-AU"/>
        </w:rPr>
        <w:t>分布</w:t>
      </w:r>
    </w:p>
    <w:p w14:paraId="4B9F2B6A" w14:textId="1127C1FF" w:rsidR="007F468F" w:rsidRPr="007F468F" w:rsidRDefault="007F468F" w:rsidP="007F2DC8">
      <w:proofErr w:type="spellStart"/>
      <w:r>
        <w:rPr>
          <w:rFonts w:ascii="STKaiti" w:eastAsia="STKaiti" w:hAnsi="STKaiti" w:hint="eastAsia"/>
          <w:sz w:val="20"/>
          <w:szCs w:val="20"/>
          <w:lang w:val="en-AU"/>
        </w:rPr>
        <w:t>Go</w:t>
      </w:r>
      <w:r>
        <w:rPr>
          <w:rFonts w:ascii="STKaiti" w:eastAsia="STKaiti" w:hAnsi="STKaiti"/>
          <w:sz w:val="20"/>
          <w:szCs w:val="20"/>
          <w:lang w:val="en-AU"/>
        </w:rPr>
        <w:t>sset</w:t>
      </w:r>
      <w:proofErr w:type="spellEnd"/>
      <w:r>
        <w:rPr>
          <w:rFonts w:ascii="STKaiti" w:eastAsia="STKaiti" w:hAnsi="STKaiti" w:hint="eastAsia"/>
          <w:sz w:val="20"/>
          <w:szCs w:val="20"/>
          <w:lang w:val="en-AU"/>
        </w:rPr>
        <w:t>的妻子Majority</w:t>
      </w:r>
      <w:r>
        <w:rPr>
          <w:rFonts w:ascii="STKaiti" w:eastAsia="STKaiti" w:hAnsi="STKaiti"/>
          <w:sz w:val="20"/>
          <w:szCs w:val="20"/>
          <w:lang w:val="en-AU"/>
        </w:rPr>
        <w:t xml:space="preserve"> </w:t>
      </w:r>
      <w:r>
        <w:rPr>
          <w:rFonts w:ascii="STKaiti" w:eastAsia="STKaiti" w:hAnsi="STKaiti" w:hint="eastAsia"/>
          <w:sz w:val="20"/>
          <w:szCs w:val="20"/>
          <w:lang w:val="en-AU"/>
        </w:rPr>
        <w:t>Surtees</w:t>
      </w:r>
      <w:r>
        <w:rPr>
          <w:rFonts w:ascii="STKaiti" w:eastAsia="STKaiti" w:hAnsi="STKaiti"/>
          <w:sz w:val="20"/>
          <w:szCs w:val="20"/>
          <w:lang w:val="en-AU"/>
        </w:rPr>
        <w:t xml:space="preserve"> </w:t>
      </w:r>
      <w:proofErr w:type="spellStart"/>
      <w:r>
        <w:rPr>
          <w:rFonts w:ascii="STKaiti" w:eastAsia="STKaiti" w:hAnsi="STKaiti" w:hint="eastAsia"/>
          <w:sz w:val="20"/>
          <w:szCs w:val="20"/>
          <w:lang w:val="en-AU"/>
        </w:rPr>
        <w:t>Gosset</w:t>
      </w:r>
      <w:proofErr w:type="spellEnd"/>
      <w:r>
        <w:rPr>
          <w:rFonts w:ascii="STKaiti" w:eastAsia="STKaiti" w:hAnsi="STKaiti" w:hint="eastAsia"/>
          <w:sz w:val="20"/>
          <w:szCs w:val="20"/>
          <w:lang w:val="en-AU"/>
        </w:rPr>
        <w:t>的妻子生于1</w:t>
      </w:r>
      <w:r>
        <w:rPr>
          <w:rFonts w:ascii="STKaiti" w:eastAsia="STKaiti" w:hAnsi="STKaiti"/>
          <w:sz w:val="20"/>
          <w:szCs w:val="20"/>
          <w:lang w:val="en-AU"/>
        </w:rPr>
        <w:t>879-1965[</w:t>
      </w:r>
      <w:hyperlink r:id="rId12" w:history="1">
        <w:r>
          <w:rPr>
            <w:rStyle w:val="Hyperlink"/>
          </w:rPr>
          <w:t>https://www.geni.com/people/Marjory-Phillpotts/6000000034445497987</w:t>
        </w:r>
      </w:hyperlink>
      <w:r>
        <w:rPr>
          <w:rFonts w:ascii="STKaiti" w:eastAsia="STKaiti" w:hAnsi="STKaiti"/>
          <w:sz w:val="20"/>
          <w:szCs w:val="20"/>
          <w:lang w:val="en-AU"/>
        </w:rPr>
        <w:t>]</w:t>
      </w:r>
      <w:r>
        <w:rPr>
          <w:rFonts w:ascii="STKaiti" w:eastAsia="STKaiti" w:hAnsi="STKaiti" w:hint="eastAsia"/>
          <w:sz w:val="20"/>
          <w:szCs w:val="20"/>
          <w:lang w:val="en-AU"/>
        </w:rPr>
        <w:t>，而wiki上写的1</w:t>
      </w:r>
      <w:r>
        <w:rPr>
          <w:rFonts w:ascii="STKaiti" w:eastAsia="STKaiti" w:hAnsi="STKaiti"/>
          <w:sz w:val="20"/>
          <w:szCs w:val="20"/>
          <w:lang w:val="en-AU"/>
        </w:rPr>
        <w:t>896[</w:t>
      </w:r>
      <w:hyperlink r:id="rId13" w:history="1">
        <w:r>
          <w:rPr>
            <w:rStyle w:val="Hyperlink"/>
          </w:rPr>
          <w:t>https://en.wikipedia.org/wiki/Marjory_Gosset</w:t>
        </w:r>
      </w:hyperlink>
      <w:r>
        <w:rPr>
          <w:rFonts w:ascii="STKaiti" w:eastAsia="STKaiti" w:hAnsi="STKaiti"/>
          <w:sz w:val="20"/>
          <w:szCs w:val="20"/>
          <w:lang w:val="en-AU"/>
        </w:rPr>
        <w:t>]</w:t>
      </w:r>
      <w:r>
        <w:rPr>
          <w:rFonts w:ascii="STKaiti" w:eastAsia="STKaiti" w:hAnsi="STKaiti" w:hint="eastAsia"/>
          <w:sz w:val="20"/>
          <w:szCs w:val="20"/>
          <w:lang w:val="en-AU"/>
        </w:rPr>
        <w:t>，完全错误。</w:t>
      </w:r>
    </w:p>
    <w:p w14:paraId="0A8320CD" w14:textId="77777777" w:rsidR="007F468F" w:rsidRPr="007F468F" w:rsidRDefault="007F468F" w:rsidP="007F2DC8">
      <w:pPr>
        <w:rPr>
          <w:rFonts w:ascii="STKaiti" w:eastAsia="STKaiti" w:hAnsi="STKaiti"/>
          <w:sz w:val="20"/>
          <w:szCs w:val="20"/>
          <w:lang w:val="en-AU"/>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lastRenderedPageBreak/>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B61232"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4"/>
      <w:foot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1FCE8" w14:textId="77777777" w:rsidR="00B61232" w:rsidRDefault="00B61232" w:rsidP="001E276A">
      <w:r>
        <w:separator/>
      </w:r>
    </w:p>
  </w:endnote>
  <w:endnote w:type="continuationSeparator" w:id="0">
    <w:p w14:paraId="3683A759" w14:textId="77777777" w:rsidR="00B61232" w:rsidRDefault="00B61232"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B24E5E" w:rsidRDefault="00B2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B24E5E" w:rsidRDefault="00B2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EB18C" w14:textId="77777777" w:rsidR="00B61232" w:rsidRDefault="00B61232" w:rsidP="001E276A">
      <w:r>
        <w:separator/>
      </w:r>
    </w:p>
  </w:footnote>
  <w:footnote w:type="continuationSeparator" w:id="0">
    <w:p w14:paraId="0B4B212F" w14:textId="77777777" w:rsidR="00B61232" w:rsidRDefault="00B61232" w:rsidP="001E2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D2C"/>
    <w:multiLevelType w:val="multilevel"/>
    <w:tmpl w:val="8C8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12A55"/>
    <w:rsid w:val="002623B9"/>
    <w:rsid w:val="00317538"/>
    <w:rsid w:val="00340B16"/>
    <w:rsid w:val="00385F78"/>
    <w:rsid w:val="003C27A4"/>
    <w:rsid w:val="00451E74"/>
    <w:rsid w:val="00457E04"/>
    <w:rsid w:val="00460010"/>
    <w:rsid w:val="004C2E40"/>
    <w:rsid w:val="004F398E"/>
    <w:rsid w:val="00582150"/>
    <w:rsid w:val="0063554B"/>
    <w:rsid w:val="00662346"/>
    <w:rsid w:val="00684739"/>
    <w:rsid w:val="00685C78"/>
    <w:rsid w:val="007446DA"/>
    <w:rsid w:val="007B2DF3"/>
    <w:rsid w:val="007E026E"/>
    <w:rsid w:val="007E7BCB"/>
    <w:rsid w:val="007F2CC9"/>
    <w:rsid w:val="007F2DC8"/>
    <w:rsid w:val="007F468F"/>
    <w:rsid w:val="00821AD3"/>
    <w:rsid w:val="008542BD"/>
    <w:rsid w:val="00877C5D"/>
    <w:rsid w:val="00891F56"/>
    <w:rsid w:val="0089740D"/>
    <w:rsid w:val="008A1608"/>
    <w:rsid w:val="009102AC"/>
    <w:rsid w:val="009216B2"/>
    <w:rsid w:val="00980424"/>
    <w:rsid w:val="00980C06"/>
    <w:rsid w:val="009A56D2"/>
    <w:rsid w:val="009C6AFC"/>
    <w:rsid w:val="009F3118"/>
    <w:rsid w:val="00A57687"/>
    <w:rsid w:val="00AD05D3"/>
    <w:rsid w:val="00B076D9"/>
    <w:rsid w:val="00B24E5E"/>
    <w:rsid w:val="00B61232"/>
    <w:rsid w:val="00C004F6"/>
    <w:rsid w:val="00C4294F"/>
    <w:rsid w:val="00C476BB"/>
    <w:rsid w:val="00C604E3"/>
    <w:rsid w:val="00C80BE4"/>
    <w:rsid w:val="00D311AC"/>
    <w:rsid w:val="00D37284"/>
    <w:rsid w:val="00D462AC"/>
    <w:rsid w:val="00D915DC"/>
    <w:rsid w:val="00D94DDC"/>
    <w:rsid w:val="00DF0567"/>
    <w:rsid w:val="00E2472A"/>
    <w:rsid w:val="00E27D59"/>
    <w:rsid w:val="00E64887"/>
    <w:rsid w:val="00EB3722"/>
    <w:rsid w:val="00EE4078"/>
    <w:rsid w:val="00F01431"/>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237600651">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689795117">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736363935">
      <w:bodyDiv w:val="1"/>
      <w:marLeft w:val="0"/>
      <w:marRight w:val="0"/>
      <w:marTop w:val="0"/>
      <w:marBottom w:val="0"/>
      <w:divBdr>
        <w:top w:val="none" w:sz="0" w:space="0" w:color="auto"/>
        <w:left w:val="none" w:sz="0" w:space="0" w:color="auto"/>
        <w:bottom w:val="none" w:sz="0" w:space="0" w:color="auto"/>
        <w:right w:val="none" w:sz="0" w:space="0" w:color="auto"/>
      </w:divBdr>
    </w:div>
    <w:div w:id="924189020">
      <w:bodyDiv w:val="1"/>
      <w:marLeft w:val="0"/>
      <w:marRight w:val="0"/>
      <w:marTop w:val="0"/>
      <w:marBottom w:val="0"/>
      <w:divBdr>
        <w:top w:val="none" w:sz="0" w:space="0" w:color="auto"/>
        <w:left w:val="none" w:sz="0" w:space="0" w:color="auto"/>
        <w:bottom w:val="none" w:sz="0" w:space="0" w:color="auto"/>
        <w:right w:val="none" w:sz="0" w:space="0" w:color="auto"/>
      </w:divBdr>
    </w:div>
    <w:div w:id="1107966373">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278562960">
      <w:bodyDiv w:val="1"/>
      <w:marLeft w:val="0"/>
      <w:marRight w:val="0"/>
      <w:marTop w:val="0"/>
      <w:marBottom w:val="0"/>
      <w:divBdr>
        <w:top w:val="none" w:sz="0" w:space="0" w:color="auto"/>
        <w:left w:val="none" w:sz="0" w:space="0" w:color="auto"/>
        <w:bottom w:val="none" w:sz="0" w:space="0" w:color="auto"/>
        <w:right w:val="none" w:sz="0" w:space="0" w:color="auto"/>
      </w:divBdr>
    </w:div>
    <w:div w:id="1299072751">
      <w:bodyDiv w:val="1"/>
      <w:marLeft w:val="0"/>
      <w:marRight w:val="0"/>
      <w:marTop w:val="0"/>
      <w:marBottom w:val="0"/>
      <w:divBdr>
        <w:top w:val="none" w:sz="0" w:space="0" w:color="auto"/>
        <w:left w:val="none" w:sz="0" w:space="0" w:color="auto"/>
        <w:bottom w:val="none" w:sz="0" w:space="0" w:color="auto"/>
        <w:right w:val="none" w:sz="0" w:space="0" w:color="auto"/>
      </w:divBdr>
    </w:div>
    <w:div w:id="1307005267">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54596483">
      <w:bodyDiv w:val="1"/>
      <w:marLeft w:val="0"/>
      <w:marRight w:val="0"/>
      <w:marTop w:val="0"/>
      <w:marBottom w:val="0"/>
      <w:divBdr>
        <w:top w:val="none" w:sz="0" w:space="0" w:color="auto"/>
        <w:left w:val="none" w:sz="0" w:space="0" w:color="auto"/>
        <w:bottom w:val="none" w:sz="0" w:space="0" w:color="auto"/>
        <w:right w:val="none" w:sz="0" w:space="0" w:color="auto"/>
      </w:divBdr>
    </w:div>
    <w:div w:id="1469738678">
      <w:bodyDiv w:val="1"/>
      <w:marLeft w:val="0"/>
      <w:marRight w:val="0"/>
      <w:marTop w:val="0"/>
      <w:marBottom w:val="0"/>
      <w:divBdr>
        <w:top w:val="none" w:sz="0" w:space="0" w:color="auto"/>
        <w:left w:val="none" w:sz="0" w:space="0" w:color="auto"/>
        <w:bottom w:val="none" w:sz="0" w:space="0" w:color="auto"/>
        <w:right w:val="none" w:sz="0" w:space="0" w:color="auto"/>
      </w:divBdr>
    </w:div>
    <w:div w:id="1479883917">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742558405">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history/historic_figures/lind_james.shtml" TargetMode="External"/><Relationship Id="rId13" Type="http://schemas.openxmlformats.org/officeDocument/2006/relationships/hyperlink" Target="https://en.wikipedia.org/wiki/Marjory_Gos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i.com/people/Marjory-Phillpotts/6000000034445497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w.jhsph.edu/index.cfm/go/viewCourse/course/IntroBiostats/coursePage/syllab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ocin.com/p-1671240901.html" TargetMode="External"/><Relationship Id="rId4" Type="http://schemas.openxmlformats.org/officeDocument/2006/relationships/settings" Target="settings.xml"/><Relationship Id="rId9" Type="http://schemas.openxmlformats.org/officeDocument/2006/relationships/hyperlink" Target="http://www.sohu.com/a/303970846_12004475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68C09-348C-FA4B-A8D6-42829469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31</cp:revision>
  <dcterms:created xsi:type="dcterms:W3CDTF">2019-09-22T13:38:00Z</dcterms:created>
  <dcterms:modified xsi:type="dcterms:W3CDTF">2019-11-25T15:01:00Z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