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2026-10-06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 (con opzione di configurazione e</w:t>
      </w:r>
      <w:r>
        <w:t xml:space="preserve"> </w:t>
      </w:r>
      <w:r>
        <w:t xml:space="preserve">filtro rapido per includere o escludere i consulenti/contractor dal calcolo</w:t>
      </w:r>
      <w:r>
        <w:t xml:space="preserve"> </w:t>
      </w:r>
      <w:r>
        <w:t xml:space="preserve">della produttivitÃ  e allocazione mensile di team),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 ciascuna persona mostra il badge/etichetta con il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e tooltip descrittivo (</w:t>
      </w:r>
      <w:r>
        <w:rPr>
          <w:rStyle w:val="VerbatimChar"/>
        </w:rPr>
        <w:t xml:space="preserve">Nome (Tipo) - Ruolo</w:t>
      </w:r>
      <w:r>
        <w:t xml:space="preserve">);</w:t>
      </w:r>
      <w:r>
        <w:t xml:space="preserve"> </w:t>
      </w:r>
      <w:r>
        <w:t xml:space="preserve">- un filtro persone ricercabile e multiselezione permette di cercare e</w:t>
      </w:r>
      <w:r>
        <w:t xml:space="preserve"> </w:t>
      </w:r>
      <w:r>
        <w:t xml:space="preserve">mostrare solo una o piÃ¹ risorse specifiche (filtrabili per nome, ruolo o tipo</w:t>
      </w:r>
      <w:r>
        <w:t xml:space="preserve"> </w:t>
      </w:r>
      <w:r>
        <w:t xml:space="preserve">risorsa), senza modificare o selezionare le righe;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Nelle righe espanse di assegnazione e nel modale di censimento rapido, la</w:t>
      </w:r>
      <w:r>
        <w:t xml:space="preserve"> </w:t>
      </w:r>
      <w:r>
        <w:t xml:space="preserve">selezione del progetto riporta esplicitamente sia il nome del progetto sia</w:t>
      </w:r>
      <w:r>
        <w:t xml:space="preserve"> </w:t>
      </w:r>
      <w:r>
        <w:t xml:space="preserve">il codice commessa associato (</w:t>
      </w:r>
      <w:r>
        <w:rPr>
          <w:rStyle w:val="VerbatimChar"/>
        </w:rPr>
        <w:t xml:space="preserve">commessaId</w:t>
      </w:r>
      <w:r>
        <w:t xml:space="preserve">), presente anche nel tooltip di dettaglio;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 e produttivitÃ </w:t>
      </w:r>
      <w:r>
        <w:t xml:space="preserve">: percentuali di sotto/sovra-allocazione usate per</w:t>
      </w:r>
      <w:r>
        <w:t xml:space="preserve"> </w:t>
      </w:r>
      <w:r>
        <w:t xml:space="preserve">colorare Dashboard, Persone e Calendario, oltre all’opzione di default per</w:t>
      </w:r>
      <w:r>
        <w:t xml:space="preserve"> </w:t>
      </w:r>
      <w:r>
        <w:t xml:space="preserve">includere o escludere i contractor/consulenti dai KPI di produttivitÃ 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sempre da Drizzle (mai SQL grezzo</w:t>
      </w:r>
      <w:r>
        <w:t xml:space="preserve"> </w:t>
      </w:r>
      <w:r>
        <w:t xml:space="preserve">sparso nei router, salvo il singolo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usato solo nell’harness dei</w:t>
      </w:r>
      <w:r>
        <w:t xml:space="preserve"> </w:t>
      </w:r>
      <w:r>
        <w:t xml:space="preserve">test â€”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7986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98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55669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4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0.45.x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Header HTTP di sicurezza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Limitazione dei tentativi di login per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otplib</w:t>
            </w:r>
          </w:p>
        </w:tc>
        <w:tc>
          <w:tcPr/>
          <w:p>
            <w:pPr>
              <w:pStyle w:val="Compact"/>
            </w:pPr>
            <w:r>
              <w:t xml:space="preserve">13.x</w:t>
            </w:r>
          </w:p>
        </w:tc>
        <w:tc>
          <w:tcPr/>
          <w:p>
            <w:pPr>
              <w:pStyle w:val="Compact"/>
            </w:pPr>
            <w:r>
              <w:t xml:space="preserve">Generazione e verifica codici TOTP per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4.1.11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4.1.11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E2E</w:t>
      </w:r>
      <w:r>
        <w:t xml:space="preserve"> </w:t>
      </w:r>
      <w:r>
        <w:t xml:space="preserve">â€” Playwright avvia il bundle statico in</w:t>
      </w:r>
      <w:r>
        <w:t xml:space="preserve"> </w:t>
      </w:r>
      <w:r>
        <w:rPr>
          <w:rStyle w:val="VerbatimChar"/>
        </w:rPr>
        <w:t xml:space="preserve">NODE_ENV=test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TEST_SERVE_STATIC=true</w:t>
      </w:r>
      <w:r>
        <w:t xml:space="preserve">, mantenendo il limite login di test e senza</w:t>
      </w:r>
      <w:r>
        <w:t xml:space="preserve"> </w:t>
      </w:r>
      <w:r>
        <w:t xml:space="preserve">disattivare il rate limit production.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npm peer dependencies</w:t>
      </w:r>
      <w:r>
        <w:t xml:space="preserve"> </w:t>
      </w:r>
      <w:r>
        <w:t xml:space="preserve">â€”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abilita</w:t>
      </w:r>
      <w:r>
        <w:t xml:space="preserve"> </w:t>
      </w:r>
      <w:r>
        <w:rPr>
          <w:rStyle w:val="VerbatimChar"/>
        </w:rPr>
        <w:t xml:space="preserve">legacy-peer-deps</w:t>
      </w:r>
      <w:r>
        <w:t xml:space="preserve"> </w:t>
      </w:r>
      <w:r>
        <w:t xml:space="preserve">perchÃ©</w:t>
      </w:r>
      <w:r>
        <w:t xml:space="preserve"> </w:t>
      </w:r>
      <w:r>
        <w:t xml:space="preserve">Vitest 4 supporta Vite 6+ come peer opzionale, mentre il progetto mantiene</w:t>
      </w:r>
      <w:r>
        <w:t xml:space="preserve"> </w:t>
      </w:r>
      <w:r>
        <w:t xml:space="preserve">Vite 5;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deve usare la stessa risoluzione del lockfile.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â€”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â†’ pipeline CI/CD (test â†’ build-and-deploy su Azure)</w:t>
      </w:r>
      <w:r>
        <w:br/>
      </w:r>
      <w:r>
        <w:rPr>
          <w:rStyle w:val="VerbatimChar"/>
        </w:rPr>
        <w:t xml:space="preserve">  sonar.yml                â†’ analisi SonarQube (npm run test:coverage + scan)</w:t>
      </w:r>
      <w:r>
        <w:br/>
      </w:r>
      <w:r>
        <w:rPr>
          <w:rStyle w:val="VerbatimChar"/>
        </w:rPr>
        <w:t xml:space="preserve">sonar-project.properties â†’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/auth/mfa/verify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login pubblico; MFA setup/confirm/disable autenticati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2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dall’altro.</w:t>
      </w:r>
    </w:p>
    <w:bookmarkStart w:id="100" w:name="deploy.yml-â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â€” due job in sequenza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sonar.yml-â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â€”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dell’analisi Ã¨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Ã¨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dall’analisi) perchÃ© non ha test unitari â€”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Ã¨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01"/>
    <w:bookmarkEnd w:id="102"/>
    <w:bookmarkStart w:id="103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3"/>
    <w:bookmarkEnd w:id="104"/>
    <w:bookmarkStart w:id="118" w:name="documentazione-di-sicurezza"/>
    <w:p>
      <w:pPr>
        <w:pStyle w:val="Heading1"/>
      </w:pPr>
      <w:r>
        <w:t xml:space="preserve">Documentazione di sicurezza</w:t>
      </w:r>
    </w:p>
    <w:bookmarkStart w:id="105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forzato dall’App Service), durata</w:t>
      </w:r>
      <w:r>
        <w:t xml:space="preserve"> </w:t>
      </w:r>
      <w:r>
        <w:rPr>
          <w:b/>
          <w:bCs/>
        </w:rPr>
        <w:t xml:space="preserve">8 ore</w:t>
      </w:r>
      <w:r>
        <w:t xml:space="preserve">.</w:t>
      </w:r>
      <w:r>
        <w:t xml:space="preserve"> </w:t>
      </w:r>
      <w:r>
        <w:t xml:space="preserve">Il client esegue inoltre il logout dopo</w:t>
      </w:r>
      <w:r>
        <w:t xml:space="preserve"> </w:t>
      </w:r>
      <w:r>
        <w:rPr>
          <w:b/>
          <w:bCs/>
        </w:rPr>
        <w:t xml:space="preserve">30 minuti di inattivitÃ 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Header HTTP</w:t>
      </w:r>
      <w:r>
        <w:t xml:space="preserve">: Helmet imposta CSP, HSTS, anti-framing,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e gli</w:t>
      </w:r>
      <w:r>
        <w:t xml:space="preserve"> </w:t>
      </w:r>
      <w:r>
        <w:t xml:space="preserve">altri header predefiniti; l’App Service accetta HTTP solo per reindirizzarlo</w:t>
      </w:r>
      <w:r>
        <w:t xml:space="preserve"> </w:t>
      </w:r>
      <w:r>
        <w:t xml:space="preserve">a HTTPS e richiede TLS 1.2 o superiore.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restituita dalle API o scritta nei log applicativi</w:t>
      </w:r>
      <w:r>
        <w:t xml:space="preserve"> </w:t>
      </w:r>
      <w:r>
        <w:t xml:space="preserve">(le query di lettura utenti proiettano esplicitamente solo le colonne</w:t>
      </w:r>
      <w:r>
        <w:t xml:space="preserve"> </w:t>
      </w:r>
      <w:r>
        <w:t xml:space="preserve">necessarie, 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; il seed stampa solo l’email).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Brute-force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Ã¨ protetto da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:</w:t>
      </w:r>
      <w:r>
        <w:t xml:space="preserve"> </w:t>
      </w:r>
      <w:r>
        <w:t xml:space="preserve">massimo 10 tentativi per IP in 15 minuti in produzione. Il limite puÃ² essere</w:t>
      </w:r>
      <w:r>
        <w:t xml:space="preserve"> </w:t>
      </w:r>
      <w:r>
        <w:t xml:space="preserve">sovrascritto con</w:t>
      </w:r>
      <w:r>
        <w:t xml:space="preserve"> </w:t>
      </w:r>
      <w:r>
        <w:rPr>
          <w:rStyle w:val="VerbatimChar"/>
        </w:rPr>
        <w:t xml:space="preserve">LOGIN_RATE_LIMIT_MAX</w:t>
      </w:r>
      <w:r>
        <w:t xml:space="preserve"> </w:t>
      </w:r>
      <w:r>
        <w:t xml:space="preserve">solo per ambienti di test locali.</w:t>
      </w:r>
      <w:r>
        <w:t xml:space="preserve"> </w:t>
      </w:r>
      <w:r>
        <w:t xml:space="preserve">In produzione Express si fida di un solo proxy Azure per determinare l’IP</w:t>
      </w:r>
      <w:r>
        <w:t xml:space="preserve"> </w:t>
      </w:r>
      <w:r>
        <w:t xml:space="preserve">client, evitando di usare lo stesso IP per tutti gli utenti.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MFA obbligatoria</w:t>
      </w:r>
      <w:r>
        <w:t xml:space="preserve">: ogni account deve registrare TOTP al primo accesso</w:t>
      </w:r>
      <w:r>
        <w:t xml:space="preserve"> </w:t>
      </w:r>
      <w:r>
        <w:t xml:space="preserve">prima di ricevere una sessione; le challenge di configurazione durano 10</w:t>
      </w:r>
      <w:r>
        <w:t xml:space="preserve"> </w:t>
      </w:r>
      <w:r>
        <w:t xml:space="preserve">minuti e quelle di verifica 5 minuti. Il secret Ã¨ cifrato con AES-256-GCM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MFA_ENCRYPTION_KEY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mfaEnabled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dell’utente, invece di fidarsi solo del JWT.</w:t>
      </w:r>
      <w:r>
        <w:t xml:space="preserve"> </w:t>
      </w:r>
      <w:r>
        <w:t xml:space="preserve">Disattivare un utente, rimuovergli MFA o restringergli i permessi ha effetto</w:t>
      </w:r>
      <w:r>
        <w:t xml:space="preserve"> </w:t>
      </w:r>
      <w:r>
        <w:t xml:space="preserve">immediato.</w:t>
      </w:r>
    </w:p>
    <w:bookmarkEnd w:id="105"/>
    <w:bookmarkStart w:id="111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completo, riservato agli amministratori. Gli utenti</w:t>
      </w:r>
      <w:r>
        <w:t xml:space="preserve"> </w:t>
      </w:r>
      <w:r>
        <w:t xml:space="preserve">creati dall’app ricevono inizialmente solo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; la promozione ad</w:t>
      </w:r>
      <w:r>
        <w:t xml:space="preserve"> </w:t>
      </w:r>
      <w:r>
        <w:t xml:space="preserve">amministratore Ã¨ rifiutata dal server finchÃ© l’utente non ha MFA attiva.</w:t>
      </w:r>
    </w:p>
    <w:p>
      <w:pPr>
        <w:pStyle w:val="Compact"/>
        <w:numPr>
          <w:ilvl w:val="0"/>
          <w:numId w:val="1010"/>
        </w:numPr>
      </w:pPr>
      <w:r>
        <w:t xml:space="preserve">Gli utenti preesistenti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mantengono i privilegi, ma al prossimo</w:t>
      </w:r>
      <w:r>
        <w:t xml:space="preserve"> </w:t>
      </w:r>
      <w:r>
        <w:t xml:space="preserve">login devono completare l’enrollment MFA prima di ottenere una sessione.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6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6"/>
    <w:bookmarkStart w:id="108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piÃ¹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nell’handler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l’utente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01-funzionale.md Â§4.5</w:t>
              </w:r>
            </w:hyperlink>
            <w:r>
              <w:t xml:space="preserve">)</w:t>
            </w:r>
          </w:p>
        </w:tc>
      </w:tr>
    </w:tbl>
    <w:bookmarkEnd w:id="108"/>
    <w:bookmarkStart w:id="109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9"/>
    <w:bookmarkStart w:id="110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10"/>
    <w:bookmarkEnd w:id="111"/>
    <w:bookmarkStart w:id="113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12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3"/>
    <w:bookmarkStart w:id="114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; connessioni filtrate dal firewall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in produzione; se assente l’applicazione non si avvia. Il fallback</w:t>
            </w:r>
            <w:r>
              <w:t xml:space="preserve"> 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 </w:t>
            </w:r>
            <w:r>
              <w:t xml:space="preserve">Ã¨ consentito solo fuori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MFA_ENCRYPTION_KEY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in produzione; protegge i secret TOTP cifrati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SEED_ADMIN_PASSWORD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Obbligatorio per il seed; non viene mai stampato nei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4"/>
    <w:bookmarkStart w:id="115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Intercettazione del traffico / clickjacking / MIME sniffing</w:t>
            </w:r>
          </w:p>
        </w:tc>
        <w:tc>
          <w:tcPr/>
          <w:p>
            <w:pPr>
              <w:pStyle w:val="Compact"/>
            </w:pPr>
            <w:r>
              <w:t xml:space="preserve">HTTPS-only, TLS 1.2+, HSTS e header Helmet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Brute-force sul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express-rate-limit</w:t>
            </w:r>
            <w:r>
              <w:t xml:space="preserve">: 10 tentativi per IP ogni 15 minuti 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Sessioni lasciate aperte</w:t>
            </w:r>
          </w:p>
        </w:tc>
        <w:tc>
          <w:tcPr/>
          <w:p>
            <w:pPr>
              <w:pStyle w:val="Compact"/>
            </w:pPr>
            <w:r>
              <w:t xml:space="preserve">JWT 8 ore + logout client dopo 30 minuti di inattivitÃ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Compromissione credenziali utente</w:t>
            </w:r>
          </w:p>
        </w:tc>
        <w:tc>
          <w:tcPr/>
          <w:p>
            <w:pPr>
              <w:pStyle w:val="Compact"/>
            </w:pPr>
            <w:r>
              <w:t xml:space="preserve">MFA TOTP obbligatoria per ogni account prima del rilascio della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minimo 12 caratteri e rifiuto di password comuni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zod; nuovi account limitati a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; un account senza MFA non puÃ² essere promosso ad admin; guardie anti-self-lockout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5"/>
    <w:bookmarkStart w:id="117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Dipendenze dev vulnerabili</w:t>
      </w:r>
      <w:r>
        <w:t xml:space="preserve">: al 2026-10-05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non</w:t>
      </w:r>
      <w:r>
        <w:t xml:space="preserve"> </w:t>
      </w:r>
      <w:r>
        <w:t xml:space="preserve">segnala vulnerabilitÃ  runtime; l’audit completo segnala ancora 10 avvisi</w:t>
      </w:r>
      <w:r>
        <w:t xml:space="preserve"> </w:t>
      </w:r>
      <w:r>
        <w:t xml:space="preserve">(6 high, 4 moderate) nel toolchain di sviluppo. Le correzioni suggerite</w:t>
      </w:r>
      <w:r>
        <w:t xml:space="preserve"> </w:t>
      </w:r>
      <w:r>
        <w:t xml:space="preserve">per Vite e Tailwind richiedono aggiornamenti major e una migrazione/test</w:t>
      </w:r>
      <w:r>
        <w:t xml:space="preserve"> </w:t>
      </w:r>
      <w:r>
        <w:t xml:space="preserve">dedicata. Drizzle ORM Ã¨ stato aggiornato a</w:t>
      </w:r>
      <w:r>
        <w:t xml:space="preserve"> </w:t>
      </w:r>
      <w:r>
        <w:rPr>
          <w:rStyle w:val="VerbatimChar"/>
        </w:rPr>
        <w:t xml:space="preserve">0.45.3</w:t>
      </w:r>
      <w:r>
        <w:t xml:space="preserve">, oltre la versione</w:t>
      </w:r>
      <w:r>
        <w:t xml:space="preserve"> </w:t>
      </w:r>
      <w:r>
        <w:t xml:space="preserve">corretta per</w:t>
      </w:r>
      <w:r>
        <w:t xml:space="preserve"> </w:t>
      </w:r>
      <w:hyperlink r:id="rId116">
        <w:r>
          <w:rPr>
            <w:rStyle w:val="Hyperlink"/>
          </w:rPr>
          <w:t xml:space="preserve">GHSA-gpj5-g38j-94v9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Firewall PostgreSQL</w:t>
      </w:r>
      <w:r>
        <w:t xml:space="preserve">: l’accesso pubblico resta abilitato e la regola</w:t>
      </w:r>
      <w:r>
        <w:t xml:space="preserve"> </w:t>
      </w:r>
      <w:r>
        <w:t xml:space="preserve">Azure-wide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Ã¨ attualmente attiva. Un tentativo di sostituirla con</w:t>
      </w:r>
      <w:r>
        <w:t xml:space="preserve"> </w:t>
      </w:r>
      <w:r>
        <w:t xml:space="preserve">gli IP di uscita dell’App Service ha interrotto la connettivitÃ  applicativa</w:t>
      </w:r>
      <w:r>
        <w:t xml:space="preserve"> </w:t>
      </w:r>
      <w:r>
        <w:t xml:space="preserve">ed Ã¨ stato annullato; non restringere il firewall senza predisporre e</w:t>
      </w:r>
      <w:r>
        <w:t xml:space="preserve"> </w:t>
      </w:r>
      <w:r>
        <w:t xml:space="preserve">verificare prima una rete privata/VNet o gli IP effettivamente usati.</w:t>
      </w:r>
      <w:r>
        <w:t xml:space="preserve"> </w:t>
      </w:r>
      <w:r>
        <w:t xml:space="preserve">Rimane inoltre una regola per un IP di setup da verificare e rimuovere.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</w:t>
      </w:r>
      <w:r>
        <w:t xml:space="preserve">: retention PostgreSQL di 7 giorni e backup geo-ridondanti</w:t>
      </w:r>
      <w:r>
        <w:t xml:space="preserve"> </w:t>
      </w:r>
      <w:r>
        <w:t xml:space="preserve">disabilitati; verificare esigenze di conservazione e disaster recovery.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Segreti e monitoraggio</w:t>
      </w:r>
      <w:r>
        <w:t xml:space="preserve">: i segreti Azure sono ancora app settings, non</w:t>
      </w:r>
      <w:r>
        <w:t xml:space="preserve"> </w:t>
      </w:r>
      <w:r>
        <w:t xml:space="preserve">Azure Key Vault; non Ã¨ configurato Application Insights con alerting.</w:t>
      </w:r>
      <w:r>
        <w:t xml:space="preserve"> </w:t>
      </w:r>
      <w:r>
        <w:t xml:space="preserve">Migrare i segreti in Key Vault e attivare monitoraggio dopo aver definito</w:t>
      </w:r>
      <w:r>
        <w:t xml:space="preserve"> </w:t>
      </w:r>
      <w:r>
        <w:t xml:space="preserve">accessi, retention e costi.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7"/>
    <w:bookmarkEnd w:id="118"/>
    <w:bookmarkStart w:id="134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9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WFM-008</w:t>
            </w:r>
          </w:p>
        </w:tc>
        <w:tc>
          <w:tcPr/>
          <w:p>
            <w:pPr>
              <w:pStyle w:val="Compact"/>
            </w:pPr>
            <w:r>
              <w:t xml:space="preserve">Dashboard / Impostazioni</w:t>
            </w:r>
          </w:p>
        </w:tc>
        <w:tc>
          <w:tcPr/>
          <w:p>
            <w:pPr>
              <w:pStyle w:val="Compact"/>
            </w:pPr>
            <w:r>
              <w:t xml:space="preserve">Inclusione configurabile dei contractor nella produttivitÃ  mensile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Impostazioni / Calcolo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WFM-009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Visualizzazione tipo persona nel Calendario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staffing, UI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WFM-010</w:t>
            </w:r>
          </w:p>
        </w:tc>
        <w:tc>
          <w:tcPr/>
          <w:p>
            <w:pPr>
              <w:pStyle w:val="Compact"/>
            </w:pPr>
            <w:r>
              <w:t xml:space="preserve">Calendario / Assegnazioni</w:t>
            </w:r>
          </w:p>
        </w:tc>
        <w:tc>
          <w:tcPr/>
          <w:p>
            <w:pPr>
              <w:pStyle w:val="Compact"/>
            </w:pPr>
            <w:r>
              <w:t xml:space="preserve">Visualizzazione codice commessa nella selezione assegnazione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Progetti, commessaId, UI Calendario / Modal</w:t>
            </w:r>
          </w:p>
        </w:tc>
      </w:tr>
    </w:tbl>
    <w:bookmarkEnd w:id="119"/>
    <w:bookmarkStart w:id="130" w:name="item-dettagliati"/>
    <w:p>
      <w:pPr>
        <w:pStyle w:val="Heading2"/>
      </w:pPr>
      <w:r>
        <w:t xml:space="preserve">Item dettagliati</w:t>
      </w:r>
    </w:p>
    <w:bookmarkStart w:id="120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20"/>
    <w:bookmarkStart w:id="121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21"/>
    <w:bookmarkStart w:id="122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22"/>
    <w:bookmarkStart w:id="123" w:name="Xbacb170344d224136d1fd76e1609bcbe00f403f"/>
    <w:p>
      <w:pPr>
        <w:pStyle w:val="Heading3"/>
      </w:pPr>
      <w:r>
        <w:t xml:space="preserve">WFM-004 â€” Filtro multiselezione persone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filtro ricercabile a selezione multipla per scegliere una o piÃ¹</w:t>
      </w:r>
      <w:r>
        <w:t xml:space="preserve"> </w:t>
      </w:r>
      <w:r>
        <w:t xml:space="preserve">risorse da visualizzare. La selezione appartiene al filtro sopra la tabella e</w:t>
      </w:r>
      <w:r>
        <w:t xml:space="preserve"> </w:t>
      </w:r>
      <w:r>
        <w:t xml:space="preserve">non alle singole righe del Calendario.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il menu del filtro consente selezione singola, multipla, selezione dei</w:t>
      </w:r>
      <w:r>
        <w:t xml:space="preserve"> </w:t>
      </w:r>
      <w:r>
        <w:t xml:space="preserve">risultati ricercati e ripristino di tutte le persone;</w:t>
      </w:r>
    </w:p>
    <w:p>
      <w:pPr>
        <w:pStyle w:val="Compact"/>
        <w:numPr>
          <w:ilvl w:val="0"/>
          <w:numId w:val="1016"/>
        </w:numPr>
      </w:pPr>
      <w:r>
        <w:t xml:space="preserve">la tabella non mostra checkbox sulle righe e contiene esclusivamente le</w:t>
      </w:r>
      <w:r>
        <w:t xml:space="preserve"> </w:t>
      </w:r>
      <w:r>
        <w:t xml:space="preserve">risorse scelte nel filtro;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23"/>
    <w:bookmarkStart w:id="124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4"/>
    <w:bookmarkStart w:id="125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5"/>
    <w:bookmarkStart w:id="126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6"/>
    <w:bookmarkStart w:id="127" w:name="X6edbeeb3f562fdd90ae375ccba8fc82ef6cd3a6"/>
    <w:p>
      <w:pPr>
        <w:pStyle w:val="Heading3"/>
      </w:pPr>
      <w:r>
        <w:t xml:space="preserve">WFM-008 â€” Inclusione configurabile dei contractor nella produttivitÃ  mensile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/ Impostazioni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 / configurazione</w:t>
      </w:r>
    </w:p>
    <w:p>
      <w:pPr>
        <w:pStyle w:val="BodyText"/>
      </w:pPr>
      <w:r>
        <w:t xml:space="preserve">Consentire all’utente/amministratore di scegliere se le risorse esterne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 = 'consulente'</w:t>
      </w:r>
      <w:r>
        <w:t xml:space="preserve"> </w:t>
      </w:r>
      <w:r>
        <w:t xml:space="preserve">/ contractor) devono concorrere al calcolo della</w:t>
      </w:r>
      <w:r>
        <w:t xml:space="preserve"> </w:t>
      </w:r>
      <w:r>
        <w:t xml:space="preserve">produttivitÃ  e della media di allocazione mensile nella Dashboard (e relativi</w:t>
      </w:r>
      <w:r>
        <w:t xml:space="preserve"> </w:t>
      </w:r>
      <w:r>
        <w:t xml:space="preserve">KPI del team: media allocazione, FTE allocati, risorse sotto/sovra-utilizzate).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0"/>
        </w:numPr>
      </w:pPr>
      <w:r>
        <w:t xml:space="preserve">presenza di un’opzione di configurazione (in Impostazioni &gt; Soglie o toggle rapido in Dashboard) per includere/escludere i contractor dal calcolo della produttivitÃ /allocazione;</w:t>
      </w:r>
    </w:p>
    <w:p>
      <w:pPr>
        <w:pStyle w:val="Compact"/>
        <w:numPr>
          <w:ilvl w:val="0"/>
          <w:numId w:val="1020"/>
        </w:numPr>
      </w:pPr>
      <w:r>
        <w:t xml:space="preserve">quando l’opzione esclude i contractor, la media del team, le ore libere, gli FTE e gli elenchi sotto/sovra-allocazione considerano solo i dipendenti/stage;</w:t>
      </w:r>
    </w:p>
    <w:p>
      <w:pPr>
        <w:pStyle w:val="Compact"/>
        <w:numPr>
          <w:ilvl w:val="0"/>
          <w:numId w:val="1020"/>
        </w:numPr>
      </w:pPr>
      <w:r>
        <w:t xml:space="preserve">la vista di riepilogo dei progetti continua a mostrare l’allocazione effettiva complessiva sul progetto o evidenzia la quota contractor/dipendenti;</w:t>
      </w:r>
    </w:p>
    <w:p>
      <w:pPr>
        <w:pStyle w:val="Compact"/>
        <w:numPr>
          <w:ilvl w:val="0"/>
          <w:numId w:val="1020"/>
        </w:numPr>
      </w:pPr>
      <w:r>
        <w:t xml:space="preserve">lo stato dell’impostazione viene persistito ed Ã¨ coerente al cambio mese/settimana/anno;</w:t>
      </w:r>
    </w:p>
    <w:p>
      <w:pPr>
        <w:pStyle w:val="Compact"/>
        <w:numPr>
          <w:ilvl w:val="0"/>
          <w:numId w:val="1020"/>
        </w:numPr>
      </w:pPr>
      <w:r>
        <w:t xml:space="preserve">calcoli e formule sono coperti da test unitari.</w:t>
      </w:r>
    </w:p>
    <w:bookmarkEnd w:id="127"/>
    <w:bookmarkStart w:id="128" w:name="X9cd5384eba9991ee0adf6f8b4bdb9f6392c47de"/>
    <w:p>
      <w:pPr>
        <w:pStyle w:val="Heading3"/>
      </w:pPr>
      <w:r>
        <w:t xml:space="preserve">WFM-009 â€” Visualizzazione tipo persona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Nel Calendario, mostrare esplicitamente per ogni risorsa il campo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definito nell’anagrafica Persone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),</w:t>
      </w:r>
      <w:r>
        <w:t xml:space="preserve"> </w:t>
      </w:r>
      <w:r>
        <w:t xml:space="preserve">tramite etichetta/badge dedicato o testo affiancato al nome, integrato da</w:t>
      </w:r>
      <w:r>
        <w:t xml:space="preserve"> </w:t>
      </w:r>
      <w:r>
        <w:t xml:space="preserve">un tooltip esplicativo (es:</w:t>
      </w:r>
      <w:r>
        <w:t xml:space="preserve"> </w:t>
      </w:r>
      <w:r>
        <w:rPr>
          <w:i/>
          <w:iCs/>
        </w:rPr>
        <w:t xml:space="preserve">Eustachio Sardone (Dipendente)</w:t>
      </w:r>
      <w:r>
        <w:t xml:space="preserve">,</w:t>
      </w:r>
      <w:r>
        <w:t xml:space="preserve"> </w:t>
      </w:r>
      <w:r>
        <w:rPr>
          <w:i/>
          <w:iCs/>
        </w:rPr>
        <w:t xml:space="preserve">Claudio Anelli (Consulente)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1"/>
        </w:numPr>
      </w:pPr>
      <w:r>
        <w:t xml:space="preserve">il tipo persona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Ã¨ incluso nel payload dello snapshot staffing (</w:t>
      </w:r>
      <w:r>
        <w:rPr>
          <w:rStyle w:val="VerbatimChar"/>
        </w:rPr>
        <w:t xml:space="preserve">/staffing/snapshot</w:t>
      </w:r>
      <w:r>
        <w:t xml:space="preserve">) e fruibile nel Calendario;</w:t>
      </w:r>
    </w:p>
    <w:p>
      <w:pPr>
        <w:pStyle w:val="Compact"/>
        <w:numPr>
          <w:ilvl w:val="0"/>
          <w:numId w:val="1021"/>
        </w:numPr>
      </w:pPr>
      <w:r>
        <w:t xml:space="preserve">nella colonna</w:t>
      </w:r>
      <w:r>
        <w:t xml:space="preserve"> </w:t>
      </w:r>
      <w:r>
        <w:t xml:space="preserve">“Persona”</w:t>
      </w:r>
      <w:r>
        <w:t xml:space="preserve"> </w:t>
      </w:r>
      <w:r>
        <w:t xml:space="preserve">Ã¨ visibile la tipologia risorsa accanto al nome (es. badge/etichetta o testo formattato);</w:t>
      </w:r>
    </w:p>
    <w:p>
      <w:pPr>
        <w:pStyle w:val="Compact"/>
        <w:numPr>
          <w:ilvl w:val="0"/>
          <w:numId w:val="1021"/>
        </w:numPr>
      </w:pPr>
      <w:r>
        <w:t xml:space="preserve">al passaggio del mouse sul nome della persona Ã¨ disponibile un tooltip esplicito con formato</w:t>
      </w:r>
      <w:r>
        <w:t xml:space="preserve"> </w:t>
      </w:r>
      <w:r>
        <w:rPr>
          <w:rStyle w:val="VerbatimChar"/>
        </w:rPr>
        <w:t xml:space="preserve">Nome Cognome (Tipo)</w:t>
      </w:r>
      <w:r>
        <w:t xml:space="preserve"> </w:t>
      </w:r>
      <w:r>
        <w:t xml:space="preserve">e ruolo;</w:t>
      </w:r>
    </w:p>
    <w:p>
      <w:pPr>
        <w:pStyle w:val="Compact"/>
        <w:numPr>
          <w:ilvl w:val="0"/>
          <w:numId w:val="1021"/>
        </w:numPr>
      </w:pPr>
      <w:r>
        <w:t xml:space="preserve">la visualizzazione Ã¨ attiva sia in modalitÃ  Staffing sia in Ferie/Assenze;</w:t>
      </w:r>
    </w:p>
    <w:p>
      <w:pPr>
        <w:pStyle w:val="Compact"/>
        <w:numPr>
          <w:ilvl w:val="0"/>
          <w:numId w:val="1021"/>
        </w:numPr>
      </w:pPr>
      <w:r>
        <w:t xml:space="preserve">il filtro di ricerca persone nel Calendario permette la ricerca anche per tipo risorsa.</w:t>
      </w:r>
    </w:p>
    <w:bookmarkEnd w:id="128"/>
    <w:bookmarkStart w:id="129" w:name="X95a55bfa3b77a5a4a3bc608be5dc95cf1ceb749"/>
    <w:p>
      <w:pPr>
        <w:pStyle w:val="Heading3"/>
      </w:pPr>
      <w:r>
        <w:t xml:space="preserve">WFM-010 â€” Visualizzazione codice commessa nella selezione assegnazione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/ Assegnazioni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Quando si assegna o si modifica un progetto nel Calendario (sia dal menu a</w:t>
      </w:r>
      <w:r>
        <w:t xml:space="preserve"> </w:t>
      </w:r>
      <w:r>
        <w:t xml:space="preserve">tendina della riga espansa, sia dal modale di assegnazione rapida /</w:t>
      </w:r>
      <w:r>
        <w:t xml:space="preserve"> </w:t>
      </w:r>
      <w:r>
        <w:t xml:space="preserve">AssignmentModal), mostrare chiaramente sia il</w:t>
      </w:r>
      <w:r>
        <w:t xml:space="preserve"> </w:t>
      </w:r>
      <w:r>
        <w:rPr>
          <w:b/>
          <w:bCs/>
        </w:rPr>
        <w:t xml:space="preserve">nome del progetto</w:t>
      </w:r>
      <w:r>
        <w:t xml:space="preserve"> </w:t>
      </w:r>
      <w:r>
        <w:t xml:space="preserve">sia il</w:t>
      </w:r>
      <w:r>
        <w:t xml:space="preserve"> </w:t>
      </w:r>
      <w:r>
        <w:t xml:space="preserve">relativo</w:t>
      </w:r>
      <w:r>
        <w:t xml:space="preserve"> </w:t>
      </w:r>
      <w:r>
        <w:rPr>
          <w:b/>
          <w:bCs/>
        </w:rPr>
        <w:t xml:space="preserve">codice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). Esempio:</w:t>
      </w:r>
      <w:r>
        <w:t xml:space="preserve"> </w:t>
      </w:r>
      <w:r>
        <w:rPr>
          <w:i/>
          <w:iCs/>
        </w:rPr>
        <w:t xml:space="preserve">Migrazione Cloud (migrazione-cloud-2026-09-04)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2"/>
        </w:numPr>
      </w:pPr>
      <w:r>
        <w:t xml:space="preserve">nel dropdown di selezione del progetto delle righe assegnazione del Calendario, le opzioni mostrano formato esplicito</w:t>
      </w:r>
      <w:r>
        <w:t xml:space="preserve"> </w:t>
      </w:r>
      <w:r>
        <w:rPr>
          <w:rStyle w:val="VerbatimChar"/>
        </w:rPr>
        <w:t xml:space="preserve">[Nome Progetto] (Commessa: [commessaId])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nel selettore progetto del modale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, ogni opzione include sia il nome del progetto sia l’identificativo commessa;</w:t>
      </w:r>
    </w:p>
    <w:p>
      <w:pPr>
        <w:pStyle w:val="Compact"/>
        <w:numPr>
          <w:ilvl w:val="0"/>
          <w:numId w:val="1022"/>
        </w:numPr>
      </w:pPr>
      <w:r>
        <w:t xml:space="preserve">nel tooltip informativo delle celle del calendario, accanto al nome progetto Ã¨ presente anche il codice commessa per disambiguare assegnazioni su progetti simili/omonimi;</w:t>
      </w:r>
    </w:p>
    <w:p>
      <w:pPr>
        <w:pStyle w:val="Compact"/>
        <w:numPr>
          <w:ilvl w:val="0"/>
          <w:numId w:val="1022"/>
        </w:numPr>
      </w:pPr>
      <w:r>
        <w:t xml:space="preserve">la selezione continua a salvare correttamente il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corrispondente senza regressioni.</w:t>
      </w:r>
    </w:p>
    <w:bookmarkEnd w:id="129"/>
    <w:bookmarkEnd w:id="130"/>
    <w:bookmarkStart w:id="131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31"/>
    <w:bookmarkStart w:id="132" w:name="stato-implementazione-â-2026-09-11"/>
    <w:p>
      <w:pPr>
        <w:pStyle w:val="Heading2"/>
      </w:pPr>
      <w:r>
        <w:t xml:space="preserve">Stato implementazione â€” 2026-09-11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filtro ricercabile multiselezione delle persone nel Calendario,</w:t>
      </w:r>
      <w:r>
        <w:t xml:space="preserve"> </w:t>
      </w:r>
      <w:r>
        <w:t xml:space="preserve">senza checkbox sulle righe;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WFM-008:</w:t>
      </w:r>
      <w:r>
        <w:t xml:space="preserve"> </w:t>
      </w:r>
      <w:r>
        <w:t xml:space="preserve">inclusione/esclusione configurabile dei contractor dalla produttivitÃ  mensile in Dashboard e Impostazioni;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WFM-009:</w:t>
      </w:r>
      <w:r>
        <w:t xml:space="preserve"> </w:t>
      </w:r>
      <w:r>
        <w:t xml:space="preserve">visualizzazione del tipo persona (badge e tooltip</w:t>
      </w:r>
      <w:r>
        <w:t xml:space="preserve"> </w:t>
      </w:r>
      <w:r>
        <w:rPr>
          <w:rStyle w:val="VerbatimChar"/>
        </w:rPr>
        <w:t xml:space="preserve">Nome (Tipo) - Ruolo</w:t>
      </w:r>
      <w:r>
        <w:t xml:space="preserve">) nel Calendario e filtro persone arricchito;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WFM-010:</w:t>
      </w:r>
      <w:r>
        <w:t xml:space="preserve"> </w:t>
      </w:r>
      <w:r>
        <w:t xml:space="preserve">visualizzazione del codice commessa (</w:t>
      </w:r>
      <w:r>
        <w:rPr>
          <w:rStyle w:val="VerbatimChar"/>
        </w:rPr>
        <w:t xml:space="preserve">commessaId</w:t>
      </w:r>
      <w:r>
        <w:t xml:space="preserve">) nella selezione progetto per le assegnazioni nel Calendario e nel modale di assegnazione.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l’inclusione dei</w:t>
      </w:r>
      <w:r>
        <w:t xml:space="preserve"> </w:t>
      </w:r>
      <w:r>
        <w:t xml:space="preserve">contractor nella produttivitÃ  mensile Ã¨ configurabile sia a livello globale</w:t>
      </w:r>
      <w:r>
        <w:t xml:space="preserve"> </w:t>
      </w:r>
      <w:r>
        <w:t xml:space="preserve">che tramite switch rapido in Dashboard; la capacitÃ  giornaliera usa la</w:t>
      </w:r>
      <w:r>
        <w:t xml:space="preserve"> </w:t>
      </w:r>
      <w:r>
        <w:t xml:space="preserve">settimana lavorativa di 5 giorni; un’assenza oraria Ã¨ ammessa su una singola</w:t>
      </w:r>
      <w:r>
        <w:t xml:space="preserve"> </w:t>
      </w:r>
      <w:r>
        <w:t xml:space="preserve">giornata e, come regola prudenziale, una volta approvata blocca l’intera</w:t>
      </w:r>
      <w:r>
        <w:t xml:space="preserve"> </w:t>
      </w:r>
      <w:r>
        <w:t xml:space="preserve">giornata di staffing.</w:t>
      </w:r>
    </w:p>
    <w:bookmarkEnd w:id="132"/>
    <w:bookmarkStart w:id="133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2026-10-06T07:31:03Z</dcterms:created>
  <dcterms:modified xsi:type="dcterms:W3CDTF">2026-10-06T07:31:03Z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2026-10-06</vt:lpwstr>
  </property>
  <property fmtid="{D5CDD505-2E9C-101B-9397-08002B2CF9AE}" pid="3" name="subtitle">
    <vt:lpwstr>Documentazione funzionale, architetturale, tecnica e di sicurezza</vt:lpwstr>
  </property>
</Properties>
</file>