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2026-10-05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Ã¨ un’applicazione web per la pianificazione e il controllo</w:t>
      </w:r>
      <w:r>
        <w:t xml:space="preserve"> </w:t>
      </w:r>
      <w:r>
        <w:t xml:space="preserve">della capacitÃ  di un team di consulenza/delivery: chi lavora su quali</w:t>
      </w:r>
      <w:r>
        <w:t xml:space="preserve"> </w:t>
      </w:r>
      <w:r>
        <w:t xml:space="preserve">progetti, con quale percentuale di impegno, chi Ã¨ sotto o sovra-allocato, chi</w:t>
      </w:r>
      <w:r>
        <w:t xml:space="preserve"> </w:t>
      </w:r>
      <w:r>
        <w:t xml:space="preserve">Ã¨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storicitÃ </w:t>
      </w:r>
      <w:r>
        <w:t xml:space="preserve"> </w:t>
      </w:r>
      <w:r>
        <w:t xml:space="preserve">(registro attivitÃ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entitÃ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capacitÃ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 â€”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Ã¨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 (con opzione di configurazione e</w:t>
      </w:r>
      <w:r>
        <w:t xml:space="preserve"> </w:t>
      </w:r>
      <w:r>
        <w:t xml:space="preserve">filtro rapido per includere o escludere i consulenti/contractor dal calcolo</w:t>
      </w:r>
      <w:r>
        <w:t xml:space="preserve"> </w:t>
      </w:r>
      <w:r>
        <w:t xml:space="preserve">della produttivitÃ  e allocazione mensile di team), capacitÃ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</w:t>
      </w:r>
      <w:r>
        <w:t xml:space="preserve"> </w:t>
      </w:r>
      <w:r>
        <w:t xml:space="preserve">“Allocazione per</w:t>
      </w:r>
      <w:r>
        <w:t xml:space="preserve"> </w:t>
      </w:r>
      <w:r>
        <w:t xml:space="preserve">persona”</w:t>
      </w:r>
      <w:r>
        <w:t xml:space="preserve"> </w:t>
      </w:r>
      <w:r>
        <w:t xml:space="preserve">usa una visualizzazione executive-board a barre orizzontali: ogni</w:t>
      </w:r>
      <w:r>
        <w:t xml:space="preserve"> </w:t>
      </w:r>
      <w:r>
        <w:t xml:space="preserve">risorsa Ã¨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d’occhio e adatta a un uso manageriale rapido, dove</w:t>
      </w:r>
      <w:r>
        <w:t xml:space="preserve"> </w:t>
      </w:r>
      <w:r>
        <w:t xml:space="preserve">l’obiettivo Ã¨ individuare subito i casi critici senza perdere il dettaglio.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capacitÃ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capacitÃ  variabile (override temporanei della capacitÃ  base, es.</w:t>
      </w:r>
      <w:r>
        <w:t xml:space="preserve"> </w:t>
      </w:r>
      <w:r>
        <w:t xml:space="preserve">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â€”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personaâ†”progettoâ†”percentualeâ†”periodo.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Ã— periodo (settimana/mese/anno), con due modalitÃ :</w:t>
      </w:r>
      <w:r>
        <w:t xml:space="preserve"> </w:t>
      </w:r>
      <w:r>
        <w:t xml:space="preserve">- ciascuna persona mostra il badge/etichetta con il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 e tooltip descrittivo (</w:t>
      </w:r>
      <w:r>
        <w:rPr>
          <w:rStyle w:val="VerbatimChar"/>
        </w:rPr>
        <w:t xml:space="preserve">Nome (Tipo) - Ruolo</w:t>
      </w:r>
      <w:r>
        <w:t xml:space="preserve">);</w:t>
      </w:r>
      <w:r>
        <w:t xml:space="preserve"> </w:t>
      </w:r>
      <w:r>
        <w:t xml:space="preserve">- un filtro persone ricercabile e multiselezione permette di cercare e</w:t>
      </w:r>
      <w:r>
        <w:t xml:space="preserve"> </w:t>
      </w:r>
      <w:r>
        <w:t xml:space="preserve">mostrare solo una o piÃ¹ risorse specifiche (filtrabili per nome, ruolo o tipo</w:t>
      </w:r>
      <w:r>
        <w:t xml:space="preserve"> </w:t>
      </w:r>
      <w:r>
        <w:t xml:space="preserve">risorsa), senza modificare o selezionare le righe;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70â€“100%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un’unitÃ  â€” giorno/settimana/mese/anno â€”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piÃ¹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</w:t>
      </w:r>
      <w:r>
        <w:t xml:space="preserve"> </w:t>
      </w:r>
      <w:r>
        <w:t xml:space="preserve">Nelle righe espanse di assegnazione e nel modale di censimento rapido, la</w:t>
      </w:r>
      <w:r>
        <w:t xml:space="preserve"> </w:t>
      </w:r>
      <w:r>
        <w:t xml:space="preserve">selezione del progetto riporta esplicitamente sia il nome del progetto sia</w:t>
      </w:r>
      <w:r>
        <w:t xml:space="preserve"> </w:t>
      </w:r>
      <w:r>
        <w:t xml:space="preserve">il codice commessa associato (</w:t>
      </w:r>
      <w:r>
        <w:rPr>
          <w:rStyle w:val="VerbatimChar"/>
        </w:rPr>
        <w:t xml:space="preserve">commessaId</w:t>
      </w:r>
      <w:r>
        <w:t xml:space="preserve">), presente anche nel tooltip di dettaglio;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festivitÃ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 Un’assenza puÃ² essere a giornate intere oppure espressa in</w:t>
      </w:r>
      <w:r>
        <w:t xml:space="preserve"> </w:t>
      </w:r>
      <w:r>
        <w:t xml:space="preserve">ore su una singola giornata; un’assenza approvata viene riportata nel</w:t>
      </w:r>
      <w:r>
        <w:t xml:space="preserve"> </w:t>
      </w:r>
      <w:r>
        <w:t xml:space="preserve">Calendario e blocca il censimento staffing della giornata.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 e produttivitÃ </w:t>
      </w:r>
      <w:r>
        <w:t xml:space="preserve">: percentuali di sotto/sovra-allocazione usate per</w:t>
      </w:r>
      <w:r>
        <w:t xml:space="preserve"> </w:t>
      </w:r>
      <w:r>
        <w:t xml:space="preserve">colorare Dashboard, Persone e Calendario, oltre all’opzione di default per</w:t>
      </w:r>
      <w:r>
        <w:t xml:space="preserve"> </w:t>
      </w:r>
      <w:r>
        <w:t xml:space="preserve">includere o escludere i contractor/consulenti dai KPI di produttivitÃ 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FestivitÃ </w:t>
      </w:r>
      <w:r>
        <w:t xml:space="preserve">: festivitÃ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puÃ²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attivitÃ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entitÃ  e intervallo di date.</w:t>
      </w:r>
    </w:p>
    <w:bookmarkEnd w:id="21"/>
    <w:bookmarkEnd w:id="22"/>
    <w:bookmarkStart w:id="37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PiÃ¹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puÃ² essere staffata al 60% su un progetto e al</w:t>
      </w:r>
      <w:r>
        <w:t xml:space="preserve"> </w:t>
      </w:r>
      <w:r>
        <w:t xml:space="preserve">40% su un altro nella stessa settimana â†’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all’utente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Ã¨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Il server rifiuta</w:t>
      </w:r>
      <w:r>
        <w:t xml:space="preserve"> </w:t>
      </w:r>
      <w:r>
        <w:t xml:space="preserve">inoltre qualsiasi inserimento, modifica, split o overwrite che tocchi una</w:t>
      </w:r>
      <w:r>
        <w:t xml:space="preserve"> </w:t>
      </w:r>
      <w:r>
        <w:t xml:space="preserve">festivitÃ  configurata o un’assenza approvata, anche via API.</w:t>
      </w:r>
    </w:p>
    <w:p>
      <w:pPr>
        <w:pStyle w:val="BodyText"/>
      </w:pPr>
      <w:r>
        <w:t xml:space="preserve">Due operazioni meritano attenzione perchÃ© contengono la logica di dominio</w:t>
      </w:r>
      <w:r>
        <w:t xml:space="preserve"> </w:t>
      </w:r>
      <w:r>
        <w:t xml:space="preserve">piÃ¹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â€”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74846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agrams/01-funzionale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484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â€”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unitÃ  (giorno/settimana/mese/anno) all’interno di un’assegnazione piÃ¹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dell’unitÃ  modificata (percentuale invariata), l’unitÃ  stessa (nuova</w:t>
      </w:r>
      <w:r>
        <w:t xml:space="preserve"> </w:t>
      </w:r>
      <w:r>
        <w:t xml:space="preserve">percentuale) e la parte dopo (percentuale invariata) â€”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capacitÃ </w:t>
      </w:r>
      <w:r>
        <w:t xml:space="preserve"> </w:t>
      </w:r>
      <w:r>
        <w:t xml:space="preserve">di una persona (ore/settimana usate per calcolare se Ã¨</w:t>
      </w:r>
      <w:r>
        <w:t xml:space="preserve"> </w:t>
      </w:r>
      <w:r>
        <w:t xml:space="preserve">sotto/sovra-allocata) Ã¨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puÃ²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â€”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513800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iagrams/01-funzionale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38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puÃ² approvare/rifiutare non Ã¨ vincolato via codice a una gerarchia</w:t>
      </w:r>
      <w:r>
        <w:t xml:space="preserve"> </w:t>
      </w:r>
      <w:r>
        <w:t xml:space="preserve">specifica (qualunque utente con accesso alla sezione Ferie/Assenze puÃ²</w:t>
      </w:r>
      <w:r>
        <w:t xml:space="preserve"> </w:t>
      </w:r>
      <w:r>
        <w:t xml:space="preserve">farlo) â€”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Ã¨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piÃ¹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nÃ©, quando la richiesta Ã¨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â€” l’approvazione Ã¨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163420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s/01-funzionale-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34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puÃ² togliersi da solo l’accesso a Impostazioni â†’ Utenti), Ã¨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Ã¨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â€” l’importazione non fallisce</w:t>
      </w:r>
      <w:r>
        <w:t xml:space="preserve"> </w:t>
      </w:r>
      <w:r>
        <w:t xml:space="preserve">nel suo complesso â€” e la risposta riporta quante righe sono state importate e</w:t>
      </w:r>
      <w:r>
        <w:t xml:space="preserve"> </w:t>
      </w:r>
      <w:r>
        <w:t xml:space="preserve">quante saltate, cosÃ¬ l’utente puÃ²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capacitÃ  non valida) mostrato</w:t>
      </w:r>
      <w:r>
        <w:t xml:space="preserve"> </w:t>
      </w:r>
      <w:r>
        <w:t xml:space="preserve">nel popup lato UI.</w:t>
      </w:r>
    </w:p>
    <w:bookmarkEnd w:id="35"/>
    <w:bookmarkStart w:id="36" w:name="reset-amministrativo-dei-dati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Un’azione riservata all’amministratore Ã¨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l’utente corrente Ã¨ l’admin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cioÃ¨ accesso</w:t>
      </w:r>
      <w:r>
        <w:t xml:space="preserve"> </w:t>
      </w:r>
      <w:r>
        <w:t xml:space="preserve">illimitato). L’azione richiede conferma prima di eseguire il reset e cancella</w:t>
      </w:r>
      <w:r>
        <w:t xml:space="preserve"> </w:t>
      </w:r>
      <w:r>
        <w:t xml:space="preserve">le entitÃ  applicative principali â€” persone, progetti, assegnazioni, assenze,</w:t>
      </w:r>
      <w:r>
        <w:t xml:space="preserve"> </w:t>
      </w:r>
      <w:r>
        <w:t xml:space="preserve">festivitÃ , soglie e log attivitÃ  â€” lasciando intatti gli account admin. Il</w:t>
      </w:r>
      <w:r>
        <w:t xml:space="preserve"> </w:t>
      </w:r>
      <w:r>
        <w:t xml:space="preserve">reset Ã¨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36"/>
    <w:bookmarkEnd w:id="37"/>
    <w:bookmarkStart w:id="38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Ã¨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â†’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festivitÃ  aziendali</w:t>
            </w:r>
          </w:p>
        </w:tc>
        <w:tc>
          <w:tcPr/>
          <w:p>
            <w:pPr>
              <w:pStyle w:val="Compact"/>
            </w:pPr>
            <w:r>
              <w:t xml:space="preserve">Impostazioni â†’ Soglie / FestivitÃ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â†’ Registro attivitÃ </w:t>
            </w:r>
          </w:p>
        </w:tc>
      </w:tr>
    </w:tbl>
    <w:bookmarkEnd w:id="38"/>
    <w:bookmarkStart w:id="39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ModalitÃ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unitÃ  di misura della capacitÃ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piÃ¹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39"/>
    <w:bookmarkEnd w:id="40"/>
    <w:bookmarkStart w:id="84" w:name="documentazione-architetturale"/>
    <w:p>
      <w:pPr>
        <w:pStyle w:val="Heading1"/>
      </w:pPr>
      <w:r>
        <w:t xml:space="preserve">Documentazione architetturale</w:t>
      </w:r>
    </w:p>
    <w:bookmarkStart w:id="44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Ã¨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4607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2-architettura-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6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â€” un solo servizio da</w:t>
      </w:r>
      <w:r>
        <w:t xml:space="preserve"> </w:t>
      </w:r>
      <w:r>
        <w:t xml:space="preserve">distribuire, nessun reverse proxy dedicato al frontend.</w:t>
      </w:r>
    </w:p>
    <w:bookmarkEnd w:id="44"/>
    <w:bookmarkStart w:id="49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337909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2-architettura-0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9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responsabilitÃ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sempre da Drizzle (mai SQL grezzo</w:t>
      </w:r>
      <w:r>
        <w:t xml:space="preserve"> </w:t>
      </w:r>
      <w:r>
        <w:t xml:space="preserve">sparso nei router, salvo il singolo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usato solo nell’harness dei</w:t>
      </w:r>
      <w:r>
        <w:t xml:space="preserve"> </w:t>
      </w:r>
      <w:r>
        <w:t xml:space="preserve">test â€” vedi</w:t>
      </w:r>
      <w:r>
        <w:t xml:space="preserve"> </w:t>
      </w:r>
      <w:hyperlink r:id="rId48">
        <w:r>
          <w:rPr>
            <w:rStyle w:val="Hyperlink"/>
          </w:rPr>
          <w:t xml:space="preserve">03-tecnica.md</w:t>
        </w:r>
      </w:hyperlink>
      <w:r>
        <w:t xml:space="preserve">).</w:t>
      </w:r>
    </w:p>
    <w:bookmarkEnd w:id="49"/>
    <w:bookmarkStart w:id="54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414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02-architettura-0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Ã¨ in</w:t>
      </w:r>
      <w:r>
        <w:t xml:space="preserve"> </w:t>
      </w:r>
      <w:hyperlink r:id="rId5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4"/>
    <w:bookmarkStart w:id="59" w:name="modello-dati-diagramma-entitã--relazione"/>
    <w:p>
      <w:pPr>
        <w:pStyle w:val="Heading2"/>
      </w:pPr>
      <w:r>
        <w:t xml:space="preserve">4. Modello dati (diagramma entitÃ -relazione)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7986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02-architettura-0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798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Ã¨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cosÃ¬ il log resta</w:t>
      </w:r>
      <w:r>
        <w:t xml:space="preserve"> </w:t>
      </w:r>
      <w:r>
        <w:t xml:space="preserve">leggibile e integro anche se l’utente che ha compiuto l’azione o l’entitÃ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Ã¨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utenteâ†”permesso):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compatibilitÃ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capacitÃ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â€”</w:t>
      </w:r>
      <w:r>
        <w:t xml:space="preserve"> </w:t>
      </w:r>
      <w:r>
        <w:t xml:space="preserve">non si perdono righe collegate solo perchÃ©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Ã¨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59"/>
    <w:bookmarkStart w:id="63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entitÃ , con i metodi/le regole di</w:t>
      </w:r>
      <w:r>
        <w:t xml:space="preserve"> </w:t>
      </w:r>
      <w:r>
        <w:t xml:space="preserve">dominio piÃ¹ rilevanti (non necessariamente implementati come metodi di</w:t>
      </w:r>
      <w:r>
        <w:t xml:space="preserve"> </w:t>
      </w:r>
      <w:r>
        <w:t xml:space="preserve">classe nel codice â€” qui la logica Ã¨ funzionale, dentro ai router â€” ma</w:t>
      </w:r>
      <w:r>
        <w:t xml:space="preserve"> </w:t>
      </w:r>
      <w:r>
        <w:t xml:space="preserve">concettualmente di competenza di ciascuna entitÃ 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498973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2-architettura-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8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â€” omesso dal diagramma per leggibilitÃ , dettagliato nell’</w:t>
      </w:r>
      <w:hyperlink w:anchor="X2cd938c547d586d6c0d3646d6fe0ede71e2c4ce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3"/>
    <w:bookmarkStart w:id="76" w:name="diagrammi-di-sequenza"/>
    <w:p>
      <w:pPr>
        <w:pStyle w:val="Heading2"/>
      </w:pPr>
      <w:r>
        <w:t xml:space="preserve">6. Diagrammi di sequenza</w:t>
      </w:r>
    </w:p>
    <w:bookmarkStart w:id="67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455669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2-architettura-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Ã¨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7"/>
    <w:bookmarkStart w:id="71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57243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iagrams/02-architettura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7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40438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agrams/02-architettura-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0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81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787076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agrams/02-architettura-1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87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bookmarkEnd w:id="81"/>
    <w:bookmarkStart w:id="83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piÃ¹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piÃ¹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Ã¨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Ã¨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funzionalitÃ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2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83"/>
    <w:bookmarkEnd w:id="84"/>
    <w:bookmarkStart w:id="104" w:name="documentazione-tecnica"/>
    <w:p>
      <w:pPr>
        <w:pStyle w:val="Heading1"/>
      </w:pPr>
      <w:r>
        <w:t xml:space="preserve">Documentazione tecnica</w:t>
      </w:r>
    </w:p>
    <w:bookmarkStart w:id="90" w:name="stack-tecnologico"/>
    <w:p>
      <w:pPr>
        <w:pStyle w:val="Heading2"/>
      </w:pPr>
      <w:r>
        <w:t xml:space="preserve">1. Stack tecnologico</w:t>
      </w:r>
    </w:p>
    <w:bookmarkStart w:id="8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5"/>
    <w:bookmarkStart w:id="8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0.45.x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Header HTTP di sicurezza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express-rate-limit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Limitazione dei tentativi di login per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otplib</w:t>
            </w:r>
          </w:p>
        </w:tc>
        <w:tc>
          <w:tcPr/>
          <w:p>
            <w:pPr>
              <w:pStyle w:val="Compact"/>
            </w:pPr>
            <w:r>
              <w:t xml:space="preserve">13.x</w:t>
            </w:r>
          </w:p>
        </w:tc>
        <w:tc>
          <w:tcPr/>
          <w:p>
            <w:pPr>
              <w:pStyle w:val="Compact"/>
            </w:pPr>
            <w:r>
              <w:t xml:space="preserve">Generazione e verifica codici TOTP per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6"/>
    <w:bookmarkStart w:id="87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7"/>
    <w:bookmarkStart w:id="88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4.1.11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@vitest/coverage-v8</w:t>
            </w:r>
          </w:p>
        </w:tc>
        <w:tc>
          <w:tcPr/>
          <w:p>
            <w:pPr>
              <w:pStyle w:val="Compact"/>
            </w:pPr>
            <w:r>
              <w:t xml:space="preserve">4.1.11</w:t>
            </w:r>
          </w:p>
        </w:tc>
        <w:tc>
          <w:tcPr/>
          <w:p>
            <w:pPr>
              <w:pStyle w:val="Compact"/>
            </w:pPr>
            <w:r>
              <w:t xml:space="preserve">Coverage (provider v8), report</w:t>
            </w:r>
            <w:r>
              <w:t xml:space="preserve"> </w:t>
            </w:r>
            <w:r>
              <w:rPr>
                <w:rStyle w:val="VerbatimChar"/>
              </w:rPr>
              <w:t xml:space="preserve">lcov</w:t>
            </w:r>
            <w:r>
              <w:t xml:space="preserve"> </w:t>
            </w:r>
            <w:r>
              <w:t xml:space="preserve">consumato da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8"/>
    <w:bookmarkStart w:id="89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â€” due workflow indipendenti: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) e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 </w:t>
      </w:r>
      <w:r>
        <w:t xml:space="preserve">(analisi SonarQube, non collegato al</w:t>
      </w:r>
      <w:r>
        <w:t xml:space="preserve"> </w:t>
      </w:r>
      <w:r>
        <w:t xml:space="preserve">deploy)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npm peer dependencies</w:t>
      </w:r>
      <w:r>
        <w:t xml:space="preserve"> </w:t>
      </w:r>
      <w:r>
        <w:t xml:space="preserve">â€”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 </w:t>
      </w:r>
      <w:r>
        <w:t xml:space="preserve">abilita</w:t>
      </w:r>
      <w:r>
        <w:t xml:space="preserve"> </w:t>
      </w:r>
      <w:r>
        <w:rPr>
          <w:rStyle w:val="VerbatimChar"/>
        </w:rPr>
        <w:t xml:space="preserve">legacy-peer-deps</w:t>
      </w:r>
      <w:r>
        <w:t xml:space="preserve"> </w:t>
      </w:r>
      <w:r>
        <w:t xml:space="preserve">perchÃ©</w:t>
      </w:r>
      <w:r>
        <w:t xml:space="preserve"> </w:t>
      </w:r>
      <w:r>
        <w:t xml:space="preserve">Vitest 4 supporta Vite 6+ come peer opzionale, mentre il progetto mantiene</w:t>
      </w:r>
      <w:r>
        <w:t xml:space="preserve"> </w:t>
      </w:r>
      <w:r>
        <w:t xml:space="preserve">Vite 5;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deve usare la stessa risoluzione del lockfile.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â€” analisi statica + coverage, eseguita manualmente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workflow_dispatch</w:t>
      </w:r>
      <w:r>
        <w:t xml:space="preserve">) o ogni notte (schedule); quality gate configurato sul</w:t>
      </w:r>
      <w:r>
        <w:t xml:space="preserve"> </w:t>
      </w:r>
      <w:r>
        <w:t xml:space="preserve">progetto lato SonarQube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â€”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â€” database di produzione</w:t>
      </w:r>
    </w:p>
    <w:bookmarkEnd w:id="89"/>
    <w:bookmarkEnd w:id="90"/>
    <w:bookmarkStart w:id="91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â†’ app Express configurata (middleware + router), SENZA .listen()</w:t>
      </w:r>
      <w:r>
        <w:br/>
      </w:r>
      <w:r>
        <w:rPr>
          <w:rStyle w:val="VerbatimChar"/>
        </w:rPr>
        <w:t xml:space="preserve">  index.ts             â†’ entry point: dotenv, app.listen()</w:t>
      </w:r>
      <w:r>
        <w:br/>
      </w:r>
      <w:r>
        <w:rPr>
          <w:rStyle w:val="VerbatimChar"/>
        </w:rPr>
        <w:t xml:space="preserve">  db.ts                â†’ connessione PostgreSQL (Pool + istanza Drizzle)</w:t>
      </w:r>
      <w:r>
        <w:br/>
      </w:r>
      <w:r>
        <w:rPr>
          <w:rStyle w:val="VerbatimChar"/>
        </w:rPr>
        <w:t xml:space="preserve">  schema.ts             â†’ schema Drizzle: tabelle, enum, tipi inferiti</w:t>
      </w:r>
      <w:r>
        <w:br/>
      </w:r>
      <w:r>
        <w:rPr>
          <w:rStyle w:val="VerbatimChar"/>
        </w:rPr>
        <w:t xml:space="preserve">  auth.ts               â†’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â†’ helper per scrivere nel registro attivitÃ </w:t>
      </w:r>
      <w:r>
        <w:br/>
      </w:r>
      <w:r>
        <w:rPr>
          <w:rStyle w:val="VerbatimChar"/>
        </w:rPr>
        <w:t xml:space="preserve">  commessaId.ts         â†’ generazione slug identificativo commessa</w:t>
      </w:r>
      <w:r>
        <w:br/>
      </w:r>
      <w:r>
        <w:rPr>
          <w:rStyle w:val="VerbatimChar"/>
        </w:rPr>
        <w:t xml:space="preserve">  asyncHandler.ts        â†’ wrapper per propagare errori async agli handler Express</w:t>
      </w:r>
      <w:r>
        <w:br/>
      </w:r>
      <w:r>
        <w:rPr>
          <w:rStyle w:val="VerbatimChar"/>
        </w:rPr>
        <w:t xml:space="preserve">  seed.ts                â†’ crea l'utente admin iniziale (una tantum)</w:t>
      </w:r>
      <w:r>
        <w:br/>
      </w:r>
      <w:r>
        <w:rPr>
          <w:rStyle w:val="VerbatimChar"/>
        </w:rPr>
        <w:t xml:space="preserve">  seedDemoData.ts        â†’ popola dati di esempio (idempotente, additivo)</w:t>
      </w:r>
      <w:r>
        <w:br/>
      </w:r>
      <w:r>
        <w:rPr>
          <w:rStyle w:val="VerbatimChar"/>
        </w:rPr>
        <w:t xml:space="preserve">  routes/                â†’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â†’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â†’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â†’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â†’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â†’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â†’ test puri, nessun database</w:t>
      </w:r>
      <w:r>
        <w:br/>
      </w:r>
      <w:r>
        <w:rPr>
          <w:rStyle w:val="VerbatimChar"/>
        </w:rPr>
        <w:t xml:space="preserve">  integration/             â†’ test contro un database Postgres dedicato e usa-e-getta</w:t>
      </w:r>
      <w:r>
        <w:br/>
      </w:r>
      <w:r>
        <w:rPr>
          <w:rStyle w:val="VerbatimChar"/>
        </w:rPr>
        <w:t xml:space="preserve">  setupEnv.ts, globalSetup.ts â†’ bootstrap ambiente di test (vedi Â§4)</w:t>
      </w:r>
      <w:r>
        <w:br/>
      </w:r>
      <w:r>
        <w:br/>
      </w:r>
      <w:r>
        <w:rPr>
          <w:rStyle w:val="VerbatimChar"/>
        </w:rPr>
        <w:t xml:space="preserve">e2e/                     â†’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deploy.yml              â†’ pipeline CI/CD (test â†’ build-and-deploy su Azure)</w:t>
      </w:r>
      <w:r>
        <w:br/>
      </w:r>
      <w:r>
        <w:rPr>
          <w:rStyle w:val="VerbatimChar"/>
        </w:rPr>
        <w:t xml:space="preserve">  sonar.yml                â†’ analisi SonarQube (npm run test:coverage + scan)</w:t>
      </w:r>
      <w:r>
        <w:br/>
      </w:r>
      <w:r>
        <w:rPr>
          <w:rStyle w:val="VerbatimChar"/>
        </w:rPr>
        <w:t xml:space="preserve">sonar-project.properties â†’ configurazione progetto SonarQube (sources, esclusioni, report coverage)</w:t>
      </w:r>
      <w:r>
        <w:br/>
      </w:r>
      <w:r>
        <w:rPr>
          <w:rStyle w:val="VerbatimChar"/>
        </w:rPr>
        <w:t xml:space="preserve">setup-deploy.ps1              â†’ script di provisioning iniziale delle risorse Azure</w:t>
      </w:r>
    </w:p>
    <w:bookmarkEnd w:id="91"/>
    <w:bookmarkStart w:id="93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2">
        <w:r>
          <w:rPr>
            <w:rStyle w:val="Hyperlink"/>
          </w:rPr>
          <w:t xml:space="preserve">02-architettura.md Â§3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â€” ogni</w:t>
      </w:r>
      <w:r>
        <w:t xml:space="preserve"> </w:t>
      </w:r>
      <w:r>
        <w:t xml:space="preserve">endpoint valida esattamente ciÃ²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â€”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Ã¨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93"/>
    <w:bookmarkStart w:id="94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â€”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â€”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/auth/mfa/verify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login pubblico; MFA setup/confirm/disable autenticati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/people/bulk-delete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â€”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all’admin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cosÃ¬ il frontend puÃ² mostrare il motivo puntuale nel</w:t>
      </w:r>
      <w:r>
        <w:t xml:space="preserve"> </w:t>
      </w:r>
      <w:r>
        <w:t xml:space="preserve">popup di import.</w:t>
      </w:r>
      <w:r>
        <w:t xml:space="preserve"> </w:t>
      </w:r>
      <w:r>
        <w:t xml:space="preserve">- Le mutazioni delle assegnazioni rifiutano intervalli che intersecano una</w:t>
      </w:r>
      <w:r>
        <w:t xml:space="preserve"> </w:t>
      </w:r>
      <w:r>
        <w:t xml:space="preserve">festivitÃ  o un’assenza approvata (</w:t>
      </w:r>
      <w:r>
        <w:rPr>
          <w:rStyle w:val="VerbatimChar"/>
        </w:rPr>
        <w:t xml:space="preserve">409</w:t>
      </w:r>
      <w:r>
        <w:t xml:space="preserve">).</w:t>
      </w:r>
      <w:r>
        <w:t xml:space="preserve"> </w:t>
      </w:r>
      <w:r>
        <w:t xml:space="preserve">- Le assenze supportano il campo opzionale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 valido solo quando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coincidono.</w:t>
      </w:r>
    </w:p>
    <w:bookmarkEnd w:id="94"/>
    <w:bookmarkStart w:id="99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9163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diagrams/03-tecnica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9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capacitÃ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Ã¨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</w:t>
      </w:r>
      <w:r>
        <w:rPr>
          <w:rStyle w:val="CommentTok"/>
        </w:rPr>
        <w:t xml:space="preserve"># come sopra, con report coverage lcov in coverage/ (usato da Sonar)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8">
        <w:r>
          <w:rPr>
            <w:rStyle w:val="Hyperlink"/>
          </w:rPr>
          <w:t xml:space="preserve">README Â§5</w:t>
        </w:r>
      </w:hyperlink>
      <w:r>
        <w:t xml:space="preserve">.</w:t>
      </w:r>
    </w:p>
    <w:bookmarkEnd w:id="99"/>
    <w:bookmarkStart w:id="102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Due workflow GitHub Actions indipendenti, nessuno dei due dipende</w:t>
      </w:r>
      <w:r>
        <w:t xml:space="preserve"> </w:t>
      </w:r>
      <w:r>
        <w:t xml:space="preserve">dall’altro.</w:t>
      </w:r>
    </w:p>
    <w:bookmarkStart w:id="100" w:name="deploy.yml-â-due-job-in-sequenza"/>
    <w:p>
      <w:pPr>
        <w:pStyle w:val="Heading3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â€” due job in sequenza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00"/>
    <w:bookmarkStart w:id="101" w:name="sonar.yml-â-analisi-sonarqube"/>
    <w:p>
      <w:pPr>
        <w:pStyle w:val="Heading3"/>
      </w:pPr>
      <w:r>
        <w:rPr>
          <w:rStyle w:val="VerbatimChar"/>
        </w:rPr>
        <w:t xml:space="preserve">sonar.yml</w:t>
      </w:r>
      <w:r>
        <w:t xml:space="preserve"> </w:t>
      </w:r>
      <w:r>
        <w:t xml:space="preserve">â€” analisi SonarQube</w:t>
      </w:r>
    </w:p>
    <w:p>
      <w:pPr>
        <w:pStyle w:val="FirstParagraph"/>
      </w:pPr>
      <w:r>
        <w:t xml:space="preserve">Un solo job</w:t>
      </w:r>
      <w:r>
        <w:t xml:space="preserve"> </w:t>
      </w:r>
      <w:r>
        <w:rPr>
          <w:rStyle w:val="VerbatimChar"/>
        </w:rPr>
        <w:t xml:space="preserve">sonar</w:t>
      </w:r>
      <w:r>
        <w:t xml:space="preserve">, eseguito manualmente (</w:t>
      </w:r>
      <w:r>
        <w:rPr>
          <w:rStyle w:val="VerbatimChar"/>
        </w:rPr>
        <w:t xml:space="preserve">workflow_dispatch</w:t>
      </w:r>
      <w:r>
        <w:t xml:space="preserve">) o ogni notte</w:t>
      </w:r>
      <w:r>
        <w:t xml:space="preserve"> </w:t>
      </w:r>
      <w:r>
        <w:t xml:space="preserve">alle 3 UTC (</w:t>
      </w:r>
      <w:r>
        <w:rPr>
          <w:rStyle w:val="VerbatimChar"/>
        </w:rPr>
        <w:t xml:space="preserve">schedule</w:t>
      </w:r>
      <w:r>
        <w:t xml:space="preserve">),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su ogni push. Passi: container di servizio</w:t>
      </w:r>
      <w:r>
        <w:t xml:space="preserve"> </w:t>
      </w:r>
      <w:r>
        <w:t xml:space="preserve">PostgreSQL effimero (stesso schema del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(unit + integration test con report di</w:t>
      </w:r>
      <w:r>
        <w:t xml:space="preserve"> </w:t>
      </w:r>
      <w:r>
        <w:t xml:space="preserve">coverage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), poi</w:t>
      </w:r>
      <w:r>
        <w:t xml:space="preserve"> </w:t>
      </w:r>
      <w:r>
        <w:rPr>
          <w:rStyle w:val="VerbatimChar"/>
        </w:rPr>
        <w:t xml:space="preserve">SonarSource/sonarqube-scan-action@v4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SONAR_TOKEN</w:t>
      </w:r>
      <w:r>
        <w:t xml:space="preserve">/</w:t>
      </w:r>
      <w:r>
        <w:rPr>
          <w:rStyle w:val="VerbatimChar"/>
        </w:rPr>
        <w:t xml:space="preserve">SONAR_HOST_URL</w:t>
      </w:r>
      <w:r>
        <w:t xml:space="preserve"> </w:t>
      </w:r>
      <w:r>
        <w:t xml:space="preserve">da secret del repository). La</w:t>
      </w:r>
      <w:r>
        <w:t xml:space="preserve"> </w:t>
      </w:r>
      <w:r>
        <w:t xml:space="preserve">configurazione dell’analisi Ã¨ in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copre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 </w:t>
      </w:r>
      <w:r>
        <w:t xml:space="preserve">Ã¨ escluso dal solo</w:t>
      </w:r>
      <w:r>
        <w:t xml:space="preserve"> </w:t>
      </w:r>
      <w:r>
        <w:rPr>
          <w:b/>
          <w:bCs/>
        </w:rPr>
        <w:t xml:space="preserve">calcolo della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sonar.coverage.exclusions</w:t>
      </w:r>
      <w:r>
        <w:t xml:space="preserve">, non</w:t>
      </w:r>
      <w:r>
        <w:t xml:space="preserve"> </w:t>
      </w:r>
      <w:r>
        <w:t xml:space="preserve">dall’analisi) perchÃ© non ha test unitari â€” solo test e2e Playwright, che</w:t>
      </w:r>
      <w:r>
        <w:t xml:space="preserve"> </w:t>
      </w:r>
      <w:r>
        <w:t xml:space="preserve">non producono un report di coverage consumabile da Sonar.</w:t>
      </w:r>
    </w:p>
    <w:p>
      <w:pPr>
        <w:pStyle w:val="BodyText"/>
      </w:pPr>
      <w:r>
        <w:t xml:space="preserve">Questo job non fa parte della catena di deploy: un fallimento della scan</w:t>
      </w:r>
      <w:r>
        <w:t xml:space="preserve"> </w:t>
      </w:r>
      <w:r>
        <w:t xml:space="preserve">Sonar (o del quality gate) non blocca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ed Ã¨ indipendente dal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 quel workflow (i due job avviano ciascuno il proprio Postgres</w:t>
      </w:r>
      <w:r>
        <w:t xml:space="preserve"> </w:t>
      </w:r>
      <w:r>
        <w:t xml:space="preserve">effimero e i propri test, senza condividerli).</w:t>
      </w:r>
    </w:p>
    <w:bookmarkEnd w:id="101"/>
    <w:bookmarkEnd w:id="102"/>
    <w:bookmarkStart w:id="103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Ã¨ la fonte di veritÃ  â†’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â†’ si rivede il file generato â†’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â€” possono</w:t>
      </w:r>
      <w:r>
        <w:t xml:space="preserve"> </w:t>
      </w:r>
      <w:r>
        <w:t xml:space="preserve">essere rieseguiti senza duplicare nÃ©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distinguibilitÃ  per daltonismo) Ã¨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03"/>
    <w:bookmarkEnd w:id="104"/>
    <w:bookmarkStart w:id="118" w:name="documentazione-di-sicurezza"/>
    <w:p>
      <w:pPr>
        <w:pStyle w:val="Heading1"/>
      </w:pPr>
      <w:r>
        <w:t xml:space="preserve">Documentazione di sicurezza</w:t>
      </w:r>
    </w:p>
    <w:bookmarkStart w:id="105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â€”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forzato dall’App Service), durata</w:t>
      </w:r>
      <w:r>
        <w:t xml:space="preserve"> </w:t>
      </w:r>
      <w:r>
        <w:rPr>
          <w:b/>
          <w:bCs/>
        </w:rPr>
        <w:t xml:space="preserve">8 ore</w:t>
      </w:r>
      <w:r>
        <w:t xml:space="preserve">.</w:t>
      </w:r>
      <w:r>
        <w:t xml:space="preserve"> </w:t>
      </w:r>
      <w:r>
        <w:t xml:space="preserve">Il client esegue inoltre il logout dopo</w:t>
      </w:r>
      <w:r>
        <w:t xml:space="preserve"> </w:t>
      </w:r>
      <w:r>
        <w:rPr>
          <w:b/>
          <w:bCs/>
        </w:rPr>
        <w:t xml:space="preserve">30 minuti di inattivitÃ 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Header HTTP</w:t>
      </w:r>
      <w:r>
        <w:t xml:space="preserve">: Helmet imposta CSP, HSTS, anti-framing,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e gli</w:t>
      </w:r>
      <w:r>
        <w:t xml:space="preserve"> </w:t>
      </w:r>
      <w:r>
        <w:t xml:space="preserve">altri header predefiniti; l’App Service accetta HTTP solo per reindirizzarlo</w:t>
      </w:r>
      <w:r>
        <w:t xml:space="preserve"> </w:t>
      </w:r>
      <w:r>
        <w:t xml:space="preserve">a HTTPS e richiede TLS 1.2 o superiore.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restituita dalle API o scritta nei log applicativi</w:t>
      </w:r>
      <w:r>
        <w:t xml:space="preserve"> </w:t>
      </w:r>
      <w:r>
        <w:t xml:space="preserve">(le query di lettura utenti proiettano esplicitamente solo le colonne</w:t>
      </w:r>
      <w:r>
        <w:t xml:space="preserve"> </w:t>
      </w:r>
      <w:r>
        <w:t xml:space="preserve">necessarie, 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; il seed stampa solo l’email).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Brute-force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Ã¨ protetto da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:</w:t>
      </w:r>
      <w:r>
        <w:t xml:space="preserve"> </w:t>
      </w:r>
      <w:r>
        <w:t xml:space="preserve">massimo 10 tentativi per IP in 15 minuti in produzione. Il limite puÃ² essere</w:t>
      </w:r>
      <w:r>
        <w:t xml:space="preserve"> </w:t>
      </w:r>
      <w:r>
        <w:t xml:space="preserve">sovrascritto con</w:t>
      </w:r>
      <w:r>
        <w:t xml:space="preserve"> </w:t>
      </w:r>
      <w:r>
        <w:rPr>
          <w:rStyle w:val="VerbatimChar"/>
        </w:rPr>
        <w:t xml:space="preserve">LOGIN_RATE_LIMIT_MAX</w:t>
      </w:r>
      <w:r>
        <w:t xml:space="preserve"> </w:t>
      </w:r>
      <w:r>
        <w:t xml:space="preserve">solo per ambienti di test locali.</w:t>
      </w:r>
      <w:r>
        <w:t xml:space="preserve"> </w:t>
      </w:r>
      <w:r>
        <w:t xml:space="preserve">In produzione Express si fida di un solo proxy Azure per determinare l’IP</w:t>
      </w:r>
      <w:r>
        <w:t xml:space="preserve"> </w:t>
      </w:r>
      <w:r>
        <w:t xml:space="preserve">client, evitando di usare lo stesso IP per tutti gli utenti.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MFA obbligatoria</w:t>
      </w:r>
      <w:r>
        <w:t xml:space="preserve">: ogni account deve registrare TOTP al primo accesso</w:t>
      </w:r>
      <w:r>
        <w:t xml:space="preserve"> </w:t>
      </w:r>
      <w:r>
        <w:t xml:space="preserve">prima di ricevere una sessione; le challenge di configurazione durano 10</w:t>
      </w:r>
      <w:r>
        <w:t xml:space="preserve"> </w:t>
      </w:r>
      <w:r>
        <w:t xml:space="preserve">minuti e quelle di verifica 5 minuti. Il secret Ã¨ cifrato con AES-256-GCM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MFA_ENCRYPTION_KEY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mfaEnabled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dell’utente, invece di fidarsi solo del JWT.</w:t>
      </w:r>
      <w:r>
        <w:t xml:space="preserve"> </w:t>
      </w:r>
      <w:r>
        <w:t xml:space="preserve">Disattivare un utente, rimuovergli MFA o restringergli i permessi ha effetto</w:t>
      </w:r>
      <w:r>
        <w:t xml:space="preserve"> </w:t>
      </w:r>
      <w:r>
        <w:t xml:space="preserve">immediato.</w:t>
      </w:r>
    </w:p>
    <w:bookmarkEnd w:id="105"/>
    <w:bookmarkStart w:id="111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Ã¨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â†’ accesso completo, riservato agli amministratori. Gli utenti</w:t>
      </w:r>
      <w:r>
        <w:t xml:space="preserve"> </w:t>
      </w:r>
      <w:r>
        <w:t xml:space="preserve">creati dall’app ricevono inizialmente solo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; la promozione ad</w:t>
      </w:r>
      <w:r>
        <w:t xml:space="preserve"> </w:t>
      </w:r>
      <w:r>
        <w:t xml:space="preserve">amministratore Ã¨ rifiutata dal server finchÃ© l’utente non ha MFA attiva.</w:t>
      </w:r>
    </w:p>
    <w:p>
      <w:pPr>
        <w:pStyle w:val="Compact"/>
        <w:numPr>
          <w:ilvl w:val="0"/>
          <w:numId w:val="1010"/>
        </w:numPr>
      </w:pPr>
      <w:r>
        <w:t xml:space="preserve">Gli utenti preesistenti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mantengono i privilegi, ma al prossimo</w:t>
      </w:r>
      <w:r>
        <w:t xml:space="preserve"> </w:t>
      </w:r>
      <w:r>
        <w:t xml:space="preserve">login devono completare l’enrollment MFA prima di ottenere una sessione.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â†’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piÃ¹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â€” non esiste un secondo elenco da</w:t>
      </w:r>
      <w:r>
        <w:t xml:space="preserve"> </w:t>
      </w:r>
      <w:r>
        <w:t xml:space="preserve">tenere sincronizzato a mano.</w:t>
      </w:r>
    </w:p>
    <w:bookmarkStart w:id="106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piÃ¹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Ã¨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puÃ²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puÃ² creare o modificare</w:t>
      </w:r>
      <w:r>
        <w:t xml:space="preserve"> </w:t>
      </w:r>
      <w:r>
        <w:t xml:space="preserve">una persona (scrittura gated).</w:t>
      </w:r>
    </w:p>
    <w:bookmarkEnd w:id="106"/>
    <w:bookmarkStart w:id="108" w:name="matrice-endpoint-â-permesso-richiesto"/>
    <w:p>
      <w:pPr>
        <w:pStyle w:val="Heading3"/>
      </w:pPr>
      <w:r>
        <w:t xml:space="preserve">Matrice endpoint â†’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 piÃ¹ un controllo</w:t>
            </w:r>
            <w:r>
              <w:t xml:space="preserve"> </w:t>
            </w:r>
            <w:r>
              <w:rPr>
                <w:b/>
                <w:bCs/>
              </w:rPr>
              <w:t xml:space="preserve">inline</w:t>
            </w:r>
            <w:r>
              <w:t xml:space="preserve"> </w:t>
            </w:r>
            <w:r>
              <w:t xml:space="preserve">nell’handler (</w:t>
            </w:r>
            <w:r>
              <w:rPr>
                <w:rStyle w:val="VerbatimChar"/>
              </w:rPr>
              <w:t xml:space="preserve">req.user?.permissions !==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l’unico router protetto non da</w:t>
            </w:r>
            <w:r>
              <w:t xml:space="preserve"> </w:t>
            </w:r>
            <w:r>
              <w:rPr>
                <w:rStyle w:val="VerbatimChar"/>
              </w:rPr>
              <w:t xml:space="preserve">requireTab</w:t>
            </w:r>
            <w:r>
              <w:t xml:space="preserve">/</w:t>
            </w:r>
            <w:r>
              <w:rPr>
                <w:rStyle w:val="VerbatimChar"/>
              </w:rPr>
              <w:t xml:space="preserve">requireTabWrite</w:t>
            </w:r>
            <w:r>
              <w:t xml:space="preserve"> </w:t>
            </w:r>
            <w:r>
              <w:t xml:space="preserve">ma da un controllo ad-hoc: richiede che l’utente sia 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, accesso completo), non un permesso specifico su una sezione.</w:t>
            </w:r>
            <w:r>
              <w:t xml:space="preserve"> </w:t>
            </w:r>
            <w:r>
              <w:rPr>
                <w:rStyle w:val="VerbatimChar"/>
              </w:rPr>
              <w:t xml:space="preserve">POST /admin/reset-data</w:t>
            </w:r>
            <w:r>
              <w:t xml:space="preserve"> </w:t>
            </w:r>
            <w:r>
              <w:t xml:space="preserve">tronca tutte le tabelle dati applicative (vedi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01-funzionale.md Â§4.5</w:t>
              </w:r>
            </w:hyperlink>
            <w:r>
              <w:t xml:space="preserve">)</w:t>
            </w:r>
          </w:p>
        </w:tc>
      </w:tr>
    </w:tbl>
    <w:bookmarkEnd w:id="108"/>
    <w:bookmarkStart w:id="109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puÃ²,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â†’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(â†’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nÃ©,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(â†’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â€” non sono aggirabili chiamando l’API direttamente.</w:t>
      </w:r>
    </w:p>
    <w:bookmarkEnd w:id="109"/>
    <w:bookmarkStart w:id="110" w:name="difesa-in-profonditã-lato-client"/>
    <w:p>
      <w:pPr>
        <w:pStyle w:val="Heading3"/>
      </w:pPr>
      <w:r>
        <w:t xml:space="preserve">Difesa in profonditÃ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â†’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10"/>
    <w:bookmarkEnd w:id="111"/>
    <w:bookmarkStart w:id="113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â†’ Registro attivitÃ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entitÃ  e intervallo di date. La tabella Ã¨ denormalizzata (vedi</w:t>
      </w:r>
      <w:r>
        <w:t xml:space="preserve"> </w:t>
      </w:r>
      <w:hyperlink r:id="rId112">
        <w:r>
          <w:rPr>
            <w:rStyle w:val="Hyperlink"/>
          </w:rPr>
          <w:t xml:space="preserve">02-architettura.md Â§4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dell’entitÃ  coinvolta.</w:t>
      </w:r>
    </w:p>
    <w:bookmarkEnd w:id="113"/>
    <w:bookmarkStart w:id="114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; connessioni filtrate dal firewall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Obbligatorio in produzione; se assente l’applicazione non si avvia. Il fallback</w:t>
            </w:r>
            <w:r>
              <w:t xml:space="preserve"> 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 </w:t>
            </w:r>
            <w:r>
              <w:t xml:space="preserve">Ã¨ consentito solo fuori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MFA_ENCRYPTION_KEY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Obbligatorio in produzione; protegge i secret TOTP cifrati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SEED_ADMIN_PASSWORD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Obbligatorio per il seed; non viene mai stampato nei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03-tecnica.md Â§5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Ã¨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4"/>
    <w:bookmarkStart w:id="115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â†’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Intercettazione del traffico / clickjacking / MIME sniffing</w:t>
            </w:r>
          </w:p>
        </w:tc>
        <w:tc>
          <w:tcPr/>
          <w:p>
            <w:pPr>
              <w:pStyle w:val="Compact"/>
            </w:pPr>
            <w:r>
              <w:t xml:space="preserve">HTTPS-only, TLS 1.2+, HSTS e header Helmet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Brute-force sul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express-rate-limit</w:t>
            </w:r>
            <w:r>
              <w:t xml:space="preserve">: 10 tentativi per IP ogni 15 minuti 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Sessioni lasciate aperte</w:t>
            </w:r>
          </w:p>
        </w:tc>
        <w:tc>
          <w:tcPr/>
          <w:p>
            <w:pPr>
              <w:pStyle w:val="Compact"/>
            </w:pPr>
            <w:r>
              <w:t xml:space="preserve">JWT 8 ore + logout client dopo 30 minuti di inattivitÃ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Compromissione credenziali utente</w:t>
            </w:r>
          </w:p>
        </w:tc>
        <w:tc>
          <w:tcPr/>
          <w:p>
            <w:pPr>
              <w:pStyle w:val="Compact"/>
            </w:pPr>
            <w:r>
              <w:t xml:space="preserve">MFA TOTP obbligatoria per ogni account prima del rilascio della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minimo 12 caratteri e rifiuto di password comuni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zod; nuovi account limitati a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; un account senza MFA non puÃ² essere promosso ad admin; guardie anti-self-lockout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5"/>
    <w:bookmarkStart w:id="117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onestÃ  per chi valuterÃ  il sistema o pianificherÃ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visibilitÃ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â€”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Dipendenze dev vulnerabili</w:t>
      </w:r>
      <w:r>
        <w:t xml:space="preserve">: al 2026-10-05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non</w:t>
      </w:r>
      <w:r>
        <w:t xml:space="preserve"> </w:t>
      </w:r>
      <w:r>
        <w:t xml:space="preserve">segnala vulnerabilitÃ  runtime; l’audit completo segnala ancora 10 avvisi</w:t>
      </w:r>
      <w:r>
        <w:t xml:space="preserve"> </w:t>
      </w:r>
      <w:r>
        <w:t xml:space="preserve">(6 high, 4 moderate) nel toolchain di sviluppo. Le correzioni suggerite</w:t>
      </w:r>
      <w:r>
        <w:t xml:space="preserve"> </w:t>
      </w:r>
      <w:r>
        <w:t xml:space="preserve">per Vite e Tailwind richiedono aggiornamenti major e una migrazione/test</w:t>
      </w:r>
      <w:r>
        <w:t xml:space="preserve"> </w:t>
      </w:r>
      <w:r>
        <w:t xml:space="preserve">dedicata. Drizzle ORM Ã¨ stato aggiornato a</w:t>
      </w:r>
      <w:r>
        <w:t xml:space="preserve"> </w:t>
      </w:r>
      <w:r>
        <w:rPr>
          <w:rStyle w:val="VerbatimChar"/>
        </w:rPr>
        <w:t xml:space="preserve">0.45.3</w:t>
      </w:r>
      <w:r>
        <w:t xml:space="preserve">, oltre la versione</w:t>
      </w:r>
      <w:r>
        <w:t xml:space="preserve"> </w:t>
      </w:r>
      <w:r>
        <w:t xml:space="preserve">corretta per</w:t>
      </w:r>
      <w:r>
        <w:t xml:space="preserve"> </w:t>
      </w:r>
      <w:hyperlink r:id="rId116">
        <w:r>
          <w:rPr>
            <w:rStyle w:val="Hyperlink"/>
          </w:rPr>
          <w:t xml:space="preserve">GHSA-gpj5-g38j-94v9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Firewall PostgreSQL</w:t>
      </w:r>
      <w:r>
        <w:t xml:space="preserve">: l’accesso pubblico resta abilitato e la regola</w:t>
      </w:r>
      <w:r>
        <w:t xml:space="preserve"> </w:t>
      </w:r>
      <w:r>
        <w:t xml:space="preserve">Azure-wide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Ã¨ attualmente attiva. Un tentativo di sostituirla con</w:t>
      </w:r>
      <w:r>
        <w:t xml:space="preserve"> </w:t>
      </w:r>
      <w:r>
        <w:t xml:space="preserve">gli IP di uscita dell’App Service ha interrotto la connettivitÃ  applicativa</w:t>
      </w:r>
      <w:r>
        <w:t xml:space="preserve"> </w:t>
      </w:r>
      <w:r>
        <w:t xml:space="preserve">ed Ã¨ stato annullato; non restringere il firewall senza predisporre e</w:t>
      </w:r>
      <w:r>
        <w:t xml:space="preserve"> </w:t>
      </w:r>
      <w:r>
        <w:t xml:space="preserve">verificare prima una rete privata/VNet o gli IP effettivamente usati.</w:t>
      </w:r>
      <w:r>
        <w:t xml:space="preserve"> </w:t>
      </w:r>
      <w:r>
        <w:t xml:space="preserve">Rimane inoltre una regola per un IP di setup da verificare e rimuovere.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Backup</w:t>
      </w:r>
      <w:r>
        <w:t xml:space="preserve">: retention PostgreSQL di 7 giorni e backup geo-ridondanti</w:t>
      </w:r>
      <w:r>
        <w:t xml:space="preserve"> </w:t>
      </w:r>
      <w:r>
        <w:t xml:space="preserve">disabilitati; verificare esigenze di conservazione e disaster recovery.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Segreti e monitoraggio</w:t>
      </w:r>
      <w:r>
        <w:t xml:space="preserve">: i segreti Azure sono ancora app settings, non</w:t>
      </w:r>
      <w:r>
        <w:t xml:space="preserve"> </w:t>
      </w:r>
      <w:r>
        <w:t xml:space="preserve">Azure Key Vault; non Ã¨ configurato Application Insights con alerting.</w:t>
      </w:r>
      <w:r>
        <w:t xml:space="preserve"> </w:t>
      </w:r>
      <w:r>
        <w:t xml:space="preserve">Migrare i segreti in Key Vault e attivare monitoraggio dopo aver definito</w:t>
      </w:r>
      <w:r>
        <w:t xml:space="preserve"> </w:t>
      </w:r>
      <w:r>
        <w:t xml:space="preserve">accessi, retention e costi.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â€” non c’Ã¨ oggi un sistema centralizzato</w:t>
      </w:r>
      <w:r>
        <w:t xml:space="preserve"> </w:t>
      </w:r>
      <w:r>
        <w:t xml:space="preserve">di log/alerting (es. Application Insights) collegato all’App Service.</w:t>
      </w:r>
    </w:p>
    <w:bookmarkEnd w:id="117"/>
    <w:bookmarkEnd w:id="118"/>
    <w:bookmarkStart w:id="134" w:name="backlog-prodotto-â-workforce-manager"/>
    <w:p>
      <w:pPr>
        <w:pStyle w:val="Heading1"/>
      </w:pPr>
      <w:r>
        <w:t xml:space="preserve">Backlog prodotto â€” Workforce Manager</w:t>
      </w:r>
    </w:p>
    <w:p>
      <w:pPr>
        <w:pStyle w:val="FirstParagraph"/>
      </w:pPr>
      <w:r>
        <w:t xml:space="preserve">Backlog funzionale derivato dalle richieste del 2026-09-04. Le prioritÃ </w:t>
      </w:r>
      <w:r>
        <w:t xml:space="preserve"> </w:t>
      </w:r>
      <w:r>
        <w:t xml:space="preserve">indicano l’ordine suggerito per la consegna: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P0</w:t>
      </w:r>
      <w:r>
        <w:t xml:space="preserve">: controllo operativo o regola di integritÃ  da implementare prima</w:t>
      </w:r>
      <w:r>
        <w:t xml:space="preserve"> </w:t>
      </w:r>
      <w:r>
        <w:t xml:space="preserve">delle altre evoluzioni;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</w:t>
      </w:r>
      <w:r>
        <w:t xml:space="preserve">: funzionalitÃ  importante per l’uso quotidiano;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P2</w:t>
      </w:r>
      <w:r>
        <w:t xml:space="preserve">: miglioramento utile, ma non bloccante.</w:t>
      </w:r>
    </w:p>
    <w:bookmarkStart w:id="119" w:name="riepilogo"/>
    <w:p>
      <w:pPr>
        <w:pStyle w:val="Heading2"/>
      </w:pPr>
      <w:r>
        <w:t xml:space="preserve">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Titolo</w:t>
            </w:r>
          </w:p>
        </w:tc>
        <w:tc>
          <w:tcPr/>
          <w:p>
            <w:pPr>
              <w:pStyle w:val="Compact"/>
            </w:pPr>
            <w:r>
              <w:t xml:space="preserve">PrioritÃ </w:t>
            </w:r>
          </w:p>
        </w:tc>
        <w:tc>
          <w:tcPr/>
          <w:p>
            <w:pPr>
              <w:pStyle w:val="Compact"/>
            </w:pPr>
            <w:r>
              <w:t xml:space="preserve">Dipendenze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WFM-001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Bloccare il censimento su festivitÃ 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FestivitÃ 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WFM-002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Convertire la percentuale in ore con tooltip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CapacitÃ 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WFM-003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t xml:space="preserve">Eliminazione multipla delle risorse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API delete persone, conferma 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WFM-004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Ricerca e selezione multipla delle persone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WFM-005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Media di produttivitÃ  per progetto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Definizione metrica,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WFM-006</w:t>
            </w:r>
          </w:p>
        </w:tc>
        <w:tc>
          <w:tcPr/>
          <w:p>
            <w:pPr>
              <w:pStyle w:val="Compact"/>
            </w:pPr>
            <w:r>
              <w:t xml:space="preserve">Ferie / Calendario</w:t>
            </w:r>
          </w:p>
        </w:tc>
        <w:tc>
          <w:tcPr/>
          <w:p>
            <w:pPr>
              <w:pStyle w:val="Compact"/>
            </w:pPr>
            <w:r>
              <w:t xml:space="preserve">Sincronizzare assenze e bloccare i giorni approvati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Workflow assenze,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WFM-007</w:t>
            </w:r>
          </w:p>
        </w:tc>
        <w:tc>
          <w:tcPr/>
          <w:p>
            <w:pPr>
              <w:pStyle w:val="Compact"/>
            </w:pPr>
            <w:r>
              <w:t xml:space="preserve">Staffing</w:t>
            </w:r>
          </w:p>
        </w:tc>
        <w:tc>
          <w:tcPr/>
          <w:p>
            <w:pPr>
              <w:pStyle w:val="Compact"/>
            </w:pPr>
            <w:r>
              <w:t xml:space="preserve">Filtro per settimana, mese e anno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Intervallo temporale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WFM-008</w:t>
            </w:r>
          </w:p>
        </w:tc>
        <w:tc>
          <w:tcPr/>
          <w:p>
            <w:pPr>
              <w:pStyle w:val="Compact"/>
            </w:pPr>
            <w:r>
              <w:t xml:space="preserve">Dashboard / Impostazioni</w:t>
            </w:r>
          </w:p>
        </w:tc>
        <w:tc>
          <w:tcPr/>
          <w:p>
            <w:pPr>
              <w:pStyle w:val="Compact"/>
            </w:pPr>
            <w:r>
              <w:t xml:space="preserve">Inclusione configurabile dei contractor nella produttivitÃ  mensile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Impostazioni / Calcolo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WFM-009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Visualizzazione tipo persona nel Calendario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staffing, UI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WFM-010</w:t>
            </w:r>
          </w:p>
        </w:tc>
        <w:tc>
          <w:tcPr/>
          <w:p>
            <w:pPr>
              <w:pStyle w:val="Compact"/>
            </w:pPr>
            <w:r>
              <w:t xml:space="preserve">Calendario / Assegnazioni</w:t>
            </w:r>
          </w:p>
        </w:tc>
        <w:tc>
          <w:tcPr/>
          <w:p>
            <w:pPr>
              <w:pStyle w:val="Compact"/>
            </w:pPr>
            <w:r>
              <w:t xml:space="preserve">Visualizzazione codice commessa nella selezione assegnazione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Progetti, commessaId, UI Calendario / Modal</w:t>
            </w:r>
          </w:p>
        </w:tc>
      </w:tr>
    </w:tbl>
    <w:bookmarkEnd w:id="119"/>
    <w:bookmarkStart w:id="130" w:name="item-dettagliati"/>
    <w:p>
      <w:pPr>
        <w:pStyle w:val="Heading2"/>
      </w:pPr>
      <w:r>
        <w:t xml:space="preserve">Item dettagliati</w:t>
      </w:r>
    </w:p>
    <w:bookmarkStart w:id="120" w:name="X4ee552e3f888228b45498b5a2448bffe768f9d9"/>
    <w:p>
      <w:pPr>
        <w:pStyle w:val="Heading3"/>
      </w:pPr>
      <w:r>
        <w:t xml:space="preserve">WFM-001 â€” Bloccare il censimento su festivitÃ 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 business</w:t>
      </w:r>
    </w:p>
    <w:p>
      <w:pPr>
        <w:pStyle w:val="BodyText"/>
      </w:pPr>
      <w:r>
        <w:t xml:space="preserve">Quando una cella del calendario corrisponde a una festivitÃ  aziendale o</w:t>
      </w:r>
      <w:r>
        <w:t xml:space="preserve"> </w:t>
      </w:r>
      <w:r>
        <w:t xml:space="preserve">nazionale configurata, l’inserimento o la modifica di staffing deve essere</w:t>
      </w:r>
      <w:r>
        <w:t xml:space="preserve"> </w:t>
      </w:r>
      <w:r>
        <w:t xml:space="preserve">bloccato. In alternativa, se il business richiede di mantenere l’azione</w:t>
      </w:r>
      <w:r>
        <w:t xml:space="preserve"> </w:t>
      </w:r>
      <w:r>
        <w:t xml:space="preserve">possibile, deve essere mostrato un alert esplicito prima del salvataggio.</w:t>
      </w:r>
      <w:r>
        <w:t xml:space="preserve"> </w:t>
      </w:r>
      <w:r>
        <w:t xml:space="preserve">La scelta raccomandata Ã¨ il blocco server-side, con feedback preventivo lato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3"/>
        </w:numPr>
      </w:pPr>
      <w:r>
        <w:t xml:space="preserve">una cella di un giorno festivo Ã¨ riconoscibile visivamente e non Ã¨ editabile;</w:t>
      </w:r>
    </w:p>
    <w:p>
      <w:pPr>
        <w:pStyle w:val="Compact"/>
        <w:numPr>
          <w:ilvl w:val="0"/>
          <w:numId w:val="1013"/>
        </w:numPr>
      </w:pPr>
      <w:r>
        <w:t xml:space="preserve">un tentativo diretto verso l’API su una festivitÃ  viene rifiutato con errore</w:t>
      </w:r>
      <w:r>
        <w:t xml:space="preserve"> </w:t>
      </w:r>
      <w:r>
        <w:t xml:space="preserve">esplicito;</w:t>
      </w:r>
    </w:p>
    <w:p>
      <w:pPr>
        <w:pStyle w:val="Compact"/>
        <w:numPr>
          <w:ilvl w:val="0"/>
          <w:numId w:val="1013"/>
        </w:numPr>
      </w:pPr>
      <w:r>
        <w:t xml:space="preserve">il messaggio indica la festivitÃ  che causa il blocco;</w:t>
      </w:r>
    </w:p>
    <w:p>
      <w:pPr>
        <w:pStyle w:val="Compact"/>
        <w:numPr>
          <w:ilvl w:val="0"/>
          <w:numId w:val="1013"/>
        </w:numPr>
      </w:pPr>
      <w:r>
        <w:t xml:space="preserve">i giorni non festivi continuano a supportare inserimento, split e modifica;</w:t>
      </w:r>
    </w:p>
    <w:p>
      <w:pPr>
        <w:pStyle w:val="Compact"/>
        <w:numPr>
          <w:ilvl w:val="0"/>
          <w:numId w:val="1013"/>
        </w:numPr>
      </w:pPr>
      <w:r>
        <w:t xml:space="preserve">la regola Ã¨ coperta da test unitari e di integrazione.</w:t>
      </w:r>
    </w:p>
    <w:bookmarkEnd w:id="120"/>
    <w:bookmarkStart w:id="121" w:name="X40d31ab79f2bbeb99dc83f44d9ee5e35c36bf50"/>
    <w:p>
      <w:pPr>
        <w:pStyle w:val="Heading3"/>
      </w:pPr>
      <w:r>
        <w:t xml:space="preserve">WFM-002 â€” Mostrare le ore equivalenti alla percentuale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Passando sulla percentuale giornaliera, mostrare un tooltip con la conversione</w:t>
      </w:r>
      <w:r>
        <w:t xml:space="preserve"> </w:t>
      </w:r>
      <w:r>
        <w:t xml:space="preserve">in ore in base alla capacitÃ  della persona. Esempio con capacitÃ  settimanale</w:t>
      </w:r>
      <w:r>
        <w:t xml:space="preserve"> </w:t>
      </w:r>
      <w:r>
        <w:t xml:space="preserve">di 40 ore:</w:t>
      </w:r>
      <w:r>
        <w:t xml:space="preserve"> </w:t>
      </w:r>
      <w:r>
        <w:rPr>
          <w:rStyle w:val="VerbatimChar"/>
        </w:rPr>
        <w:t xml:space="preserve">50% = 4h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25% = 2h</w:t>
      </w:r>
      <w:r>
        <w:t xml:space="preserve">, assumendo 8 ore lavorative giornaliere.</w:t>
      </w:r>
      <w:r>
        <w:t xml:space="preserve"> </w:t>
      </w:r>
      <w:r>
        <w:t xml:space="preserve">La regola di conversione deve essere esplicita e non deve usare una capacitÃ </w:t>
      </w:r>
      <w:r>
        <w:t xml:space="preserve"> </w:t>
      </w:r>
      <w:r>
        <w:t xml:space="preserve">fissa quando la persona ha un override di capacitÃ 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4"/>
        </w:numPr>
      </w:pPr>
      <w:r>
        <w:t xml:space="preserve">il tooltip mostra percentuale, ore equivalenti e data/periodo della cella;</w:t>
      </w:r>
    </w:p>
    <w:p>
      <w:pPr>
        <w:pStyle w:val="Compact"/>
        <w:numPr>
          <w:ilvl w:val="0"/>
          <w:numId w:val="1014"/>
        </w:numPr>
      </w:pPr>
      <w:r>
        <w:t xml:space="preserve">con capacitÃ  giornaliera di 8 ore, 50% mostra 4h e 25% mostra 2h;</w:t>
      </w:r>
    </w:p>
    <w:p>
      <w:pPr>
        <w:pStyle w:val="Compact"/>
        <w:numPr>
          <w:ilvl w:val="0"/>
          <w:numId w:val="1014"/>
        </w:numPr>
      </w:pPr>
      <w:r>
        <w:t xml:space="preserve">per una persona part-time o con override viene usata la capacitÃ  effettiva;</w:t>
      </w:r>
    </w:p>
    <w:p>
      <w:pPr>
        <w:pStyle w:val="Compact"/>
        <w:numPr>
          <w:ilvl w:val="0"/>
          <w:numId w:val="1014"/>
        </w:numPr>
      </w:pPr>
      <w:r>
        <w:t xml:space="preserve">il tooltip Ã¨ disponibile in vista settimana, mese e anno senza cambiare il</w:t>
      </w:r>
      <w:r>
        <w:t xml:space="preserve"> </w:t>
      </w:r>
      <w:r>
        <w:t xml:space="preserve">valore memorizzato.</w:t>
      </w:r>
    </w:p>
    <w:p>
      <w:pPr>
        <w:pStyle w:val="FirstParagraph"/>
      </w:pPr>
      <w:r>
        <w:rPr>
          <w:b/>
          <w:bCs/>
        </w:rPr>
        <w:t xml:space="preserve">Nota da confermare:</w:t>
      </w:r>
      <w:r>
        <w:t xml:space="preserve"> </w:t>
      </w:r>
      <w:r>
        <w:t xml:space="preserve">se l’azienda considera sempre 5 giorni lavorativi,</w:t>
      </w:r>
      <w:r>
        <w:t xml:space="preserve"> </w:t>
      </w:r>
      <w:r>
        <w:t xml:space="preserve">la capacitÃ  giornaliera deve essere</w:t>
      </w:r>
      <w:r>
        <w:t xml:space="preserve"> </w:t>
      </w:r>
      <w:r>
        <w:rPr>
          <w:rStyle w:val="VerbatimChar"/>
        </w:rPr>
        <w:t xml:space="preserve">ore settimanali / 5</w:t>
      </w:r>
      <w:r>
        <w:t xml:space="preserve">; altrimenti va</w:t>
      </w:r>
      <w:r>
        <w:t xml:space="preserve"> </w:t>
      </w:r>
      <w:r>
        <w:t xml:space="preserve">confermata la ripartizione su 7 giorni attualmente usata dai KPI.</w:t>
      </w:r>
    </w:p>
    <w:bookmarkEnd w:id="121"/>
    <w:bookmarkStart w:id="122" w:name="Xb5ea440199455fb79e2da82bd4ed5d5612aba02"/>
    <w:p>
      <w:pPr>
        <w:pStyle w:val="Heading3"/>
      </w:pPr>
      <w:r>
        <w:t xml:space="preserve">WFM-003 â€” Eliminazione multipla delle persone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Persone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bulk action</w:t>
      </w:r>
    </w:p>
    <w:p>
      <w:pPr>
        <w:pStyle w:val="BodyText"/>
      </w:pPr>
      <w:r>
        <w:t xml:space="preserve">Consentire la selezione di piÃ¹ righe nella lista Persone e l’eliminazione in</w:t>
      </w:r>
      <w:r>
        <w:t xml:space="preserve"> </w:t>
      </w:r>
      <w:r>
        <w:t xml:space="preserve">blocco, per esempio per svuotare rapidamente una lista di risorse importata</w:t>
      </w:r>
      <w:r>
        <w:t xml:space="preserve"> </w:t>
      </w:r>
      <w:r>
        <w:t xml:space="preserve">per errore.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5"/>
        </w:numPr>
      </w:pPr>
      <w:r>
        <w:t xml:space="preserve">la tabella dispone di checkbox per riga e seleziona/deseleziona tutte le</w:t>
      </w:r>
      <w:r>
        <w:t xml:space="preserve"> </w:t>
      </w:r>
      <w:r>
        <w:t xml:space="preserve">righe filtrate;</w:t>
      </w:r>
    </w:p>
    <w:p>
      <w:pPr>
        <w:pStyle w:val="Compact"/>
        <w:numPr>
          <w:ilvl w:val="0"/>
          <w:numId w:val="1015"/>
        </w:numPr>
      </w:pPr>
      <w:r>
        <w:t xml:space="preserve">l’azione mostra il numero di persone e l’impatto sulle assegnazioni,</w:t>
      </w:r>
      <w:r>
        <w:t xml:space="preserve"> </w:t>
      </w:r>
      <w:r>
        <w:t xml:space="preserve">assenze e periodi di capacitÃ  collegati;</w:t>
      </w:r>
    </w:p>
    <w:p>
      <w:pPr>
        <w:pStyle w:val="Compact"/>
        <w:numPr>
          <w:ilvl w:val="0"/>
          <w:numId w:val="1015"/>
        </w:numPr>
      </w:pPr>
      <w:r>
        <w:t xml:space="preserve">la conferma Ã¨ obbligatoria e l’operazione Ã¨ annullabile prima dell’invio;</w:t>
      </w:r>
    </w:p>
    <w:p>
      <w:pPr>
        <w:pStyle w:val="Compact"/>
        <w:numPr>
          <w:ilvl w:val="0"/>
          <w:numId w:val="1015"/>
        </w:numPr>
      </w:pPr>
      <w:r>
        <w:t xml:space="preserve">il server esegue l’operazione in modo atomico, applicando le regole di</w:t>
      </w:r>
      <w:r>
        <w:t xml:space="preserve"> </w:t>
      </w:r>
      <w:r>
        <w:t xml:space="preserve">autorizzazione e cascata giÃ  previste;</w:t>
      </w:r>
    </w:p>
    <w:p>
      <w:pPr>
        <w:pStyle w:val="Compact"/>
        <w:numPr>
          <w:ilvl w:val="0"/>
          <w:numId w:val="1015"/>
        </w:numPr>
      </w:pPr>
      <w:r>
        <w:t xml:space="preserve">al termine la selezione viene azzerata e la lista viene ricaricata;</w:t>
      </w:r>
    </w:p>
    <w:p>
      <w:pPr>
        <w:pStyle w:val="Compact"/>
        <w:numPr>
          <w:ilvl w:val="0"/>
          <w:numId w:val="1015"/>
        </w:numPr>
      </w:pPr>
      <w:r>
        <w:t xml:space="preserve">il log attivitÃ  registra ogni eliminazione o un evento bulk con l’elenco</w:t>
      </w:r>
      <w:r>
        <w:t xml:space="preserve"> </w:t>
      </w:r>
      <w:r>
        <w:t xml:space="preserve">degli ID coinvolti.</w:t>
      </w:r>
    </w:p>
    <w:bookmarkEnd w:id="122"/>
    <w:bookmarkStart w:id="123" w:name="Xbacb170344d224136d1fd76e1609bcbe00f403f"/>
    <w:p>
      <w:pPr>
        <w:pStyle w:val="Heading3"/>
      </w:pPr>
      <w:r>
        <w:t xml:space="preserve">WFM-004 â€” Filtro multiselezione persone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Aggiungere un filtro ricercabile a selezione multipla per scegliere una o piÃ¹</w:t>
      </w:r>
      <w:r>
        <w:t xml:space="preserve"> </w:t>
      </w:r>
      <w:r>
        <w:t xml:space="preserve">risorse da visualizzare. La selezione appartiene al filtro sopra la tabella e</w:t>
      </w:r>
      <w:r>
        <w:t xml:space="preserve"> </w:t>
      </w:r>
      <w:r>
        <w:t xml:space="preserve">non alle singole righe del Calendario.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6"/>
        </w:numPr>
      </w:pPr>
      <w:r>
        <w:t xml:space="preserve">la ricerca filtra per nome e, se disponibile, ruolo;</w:t>
      </w:r>
    </w:p>
    <w:p>
      <w:pPr>
        <w:pStyle w:val="Compact"/>
        <w:numPr>
          <w:ilvl w:val="0"/>
          <w:numId w:val="1016"/>
        </w:numPr>
      </w:pPr>
      <w:r>
        <w:t xml:space="preserve">il menu del filtro consente selezione singola, multipla, selezione dei</w:t>
      </w:r>
      <w:r>
        <w:t xml:space="preserve"> </w:t>
      </w:r>
      <w:r>
        <w:t xml:space="preserve">risultati ricercati e ripristino di tutte le persone;</w:t>
      </w:r>
    </w:p>
    <w:p>
      <w:pPr>
        <w:pStyle w:val="Compact"/>
        <w:numPr>
          <w:ilvl w:val="0"/>
          <w:numId w:val="1016"/>
        </w:numPr>
      </w:pPr>
      <w:r>
        <w:t xml:space="preserve">la tabella non mostra checkbox sulle righe e contiene esclusivamente le</w:t>
      </w:r>
      <w:r>
        <w:t xml:space="preserve"> </w:t>
      </w:r>
      <w:r>
        <w:t xml:space="preserve">risorse scelte nel filtro;</w:t>
      </w:r>
    </w:p>
    <w:p>
      <w:pPr>
        <w:pStyle w:val="Compact"/>
        <w:numPr>
          <w:ilvl w:val="0"/>
          <w:numId w:val="1016"/>
        </w:numPr>
      </w:pPr>
      <w:r>
        <w:t xml:space="preserve">il filtro resta applicato cambiando settimana, mese o anno;</w:t>
      </w:r>
    </w:p>
    <w:p>
      <w:pPr>
        <w:pStyle w:val="Compact"/>
        <w:numPr>
          <w:ilvl w:val="0"/>
          <w:numId w:val="1016"/>
        </w:numPr>
      </w:pPr>
      <w:r>
        <w:t xml:space="preserve">cambiare modalitÃ  Staffing/Ferie-Assenze non perde la selezione;</w:t>
      </w:r>
    </w:p>
    <w:p>
      <w:pPr>
        <w:pStyle w:val="Compact"/>
        <w:numPr>
          <w:ilvl w:val="0"/>
          <w:numId w:val="1016"/>
        </w:numPr>
      </w:pPr>
      <w:r>
        <w:t xml:space="preserve">se nessuna persona corrisponde viene mostrato uno stato vuoto esplicito;</w:t>
      </w:r>
    </w:p>
    <w:p>
      <w:pPr>
        <w:pStyle w:val="Compact"/>
        <w:numPr>
          <w:ilvl w:val="0"/>
          <w:numId w:val="1016"/>
        </w:numPr>
      </w:pPr>
      <w:r>
        <w:t xml:space="preserve">il filtro Ã¨ solo di presentazione e non modifica i dati del calendario.</w:t>
      </w:r>
    </w:p>
    <w:bookmarkEnd w:id="123"/>
    <w:bookmarkStart w:id="124" w:name="X009ae6d0814605f480aa4b6d1be4c18b05736b3"/>
    <w:p>
      <w:pPr>
        <w:pStyle w:val="Heading3"/>
      </w:pPr>
      <w:r>
        <w:t xml:space="preserve">WFM-005 â€” Media di produttivitÃ  per progetto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</w:t>
      </w:r>
    </w:p>
    <w:p>
      <w:pPr>
        <w:pStyle w:val="BodyText"/>
      </w:pPr>
      <w:r>
        <w:t xml:space="preserve">Affiancare alla media del periodo una vista della media di produttivitÃ  per</w:t>
      </w:r>
      <w:r>
        <w:t xml:space="preserve"> </w:t>
      </w:r>
      <w:r>
        <w:t xml:space="preserve">progetto. Prima dell’implementazione va definito se â€œproduttivitÃ â€ coincide</w:t>
      </w:r>
      <w:r>
        <w:t xml:space="preserve"> </w:t>
      </w:r>
      <w:r>
        <w:t xml:space="preserve">con percentuale allocata, ore allocate su capacitÃ , oppure con una metrica</w:t>
      </w:r>
      <w:r>
        <w:t xml:space="preserve"> </w:t>
      </w:r>
      <w:r>
        <w:t xml:space="preserve">consuntiva futura. In assenza di consuntivi, la proposta iniziale Ã¨ mostrare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media di allocazione del progetto nel periodo</w:t>
      </w:r>
      <w:r>
        <w:t xml:space="preserve"> </w:t>
      </w:r>
      <w:r>
        <w:t xml:space="preserve">e chiamarla chiaramente</w:t>
      </w:r>
      <w:r>
        <w:t xml:space="preserve"> </w:t>
      </w:r>
      <w:r>
        <w:t xml:space="preserve">â€œMedia allocazioneâ€.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7"/>
        </w:numPr>
      </w:pPr>
      <w:r>
        <w:t xml:space="preserve">la Dashboard mostra una riga o un grafico per ogni progetto presente nel</w:t>
      </w:r>
      <w:r>
        <w:t xml:space="preserve"> </w:t>
      </w:r>
      <w:r>
        <w:t xml:space="preserve">periodo selezionato;</w:t>
      </w:r>
    </w:p>
    <w:p>
      <w:pPr>
        <w:pStyle w:val="Compact"/>
        <w:numPr>
          <w:ilvl w:val="0"/>
          <w:numId w:val="1017"/>
        </w:numPr>
      </w:pPr>
      <w:r>
        <w:t xml:space="preserve">per ogni progetto sono visibili media percentuale, ore equivalenti e periodo</w:t>
      </w:r>
      <w:r>
        <w:t xml:space="preserve"> </w:t>
      </w:r>
      <w:r>
        <w:t xml:space="preserve">di riferimento;</w:t>
      </w:r>
    </w:p>
    <w:p>
      <w:pPr>
        <w:pStyle w:val="Compact"/>
        <w:numPr>
          <w:ilvl w:val="0"/>
          <w:numId w:val="1017"/>
        </w:numPr>
      </w:pPr>
      <w:r>
        <w:t xml:space="preserve">progetti senza assegnazioni nel periodo non vengono confusi con progetti a</w:t>
      </w:r>
      <w:r>
        <w:t xml:space="preserve"> </w:t>
      </w:r>
      <w:r>
        <w:t xml:space="preserve">media zero e sono indicati separatamente;</w:t>
      </w:r>
    </w:p>
    <w:p>
      <w:pPr>
        <w:pStyle w:val="Compact"/>
        <w:numPr>
          <w:ilvl w:val="0"/>
          <w:numId w:val="1017"/>
        </w:numPr>
      </w:pPr>
      <w:r>
        <w:t xml:space="preserve">il click apre il drilldown del progetto con persone e assegnazioni incluse;</w:t>
      </w:r>
    </w:p>
    <w:p>
      <w:pPr>
        <w:pStyle w:val="Compact"/>
        <w:numPr>
          <w:ilvl w:val="0"/>
          <w:numId w:val="1017"/>
        </w:numPr>
      </w:pPr>
      <w:r>
        <w:t xml:space="preserve">il calcolo rispetta capacitÃ  variabile, date dell’assegnazione e filtri</w:t>
      </w:r>
      <w:r>
        <w:t xml:space="preserve"> </w:t>
      </w:r>
      <w:r>
        <w:t xml:space="preserve">settimana/mese/anno;</w:t>
      </w:r>
    </w:p>
    <w:p>
      <w:pPr>
        <w:pStyle w:val="Compact"/>
        <w:numPr>
          <w:ilvl w:val="0"/>
          <w:numId w:val="1017"/>
        </w:numPr>
      </w:pPr>
      <w:r>
        <w:t xml:space="preserve">la metrica e la formula sono descritte nella UI o nella documentazione.</w:t>
      </w:r>
    </w:p>
    <w:bookmarkEnd w:id="124"/>
    <w:bookmarkStart w:id="125" w:name="X9d256234e30be203fcff0b8b274071bcd41b59b"/>
    <w:p>
      <w:pPr>
        <w:pStyle w:val="Heading3"/>
      </w:pPr>
      <w:r>
        <w:t xml:space="preserve">WFM-006 â€” Sincronizzare assenze e bloccare i giorni approvati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Ferie/Assenze Â· 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</w:t>
      </w:r>
      <w:r>
        <w:t xml:space="preserve"> </w:t>
      </w:r>
      <w:r>
        <w:t xml:space="preserve">business</w:t>
      </w:r>
    </w:p>
    <w:p>
      <w:pPr>
        <w:pStyle w:val="BodyText"/>
      </w:pPr>
      <w:r>
        <w:t xml:space="preserve">Quando viene inserita un’assenza, il Calendario deve mostrare la voce</w:t>
      </w:r>
      <w:r>
        <w:t xml:space="preserve"> </w:t>
      </w:r>
      <w:r>
        <w:rPr>
          <w:b/>
          <w:bCs/>
        </w:rPr>
        <w:t xml:space="preserve">Assenza</w:t>
      </w:r>
      <w:r>
        <w:t xml:space="preserve"> </w:t>
      </w:r>
      <w:r>
        <w:t xml:space="preserve">sulla persona e sulle date interessate. Quando l’assenza Ã¨</w:t>
      </w:r>
      <w:r>
        <w:t xml:space="preserve"> </w:t>
      </w:r>
      <w:r>
        <w:t xml:space="preserve">approvata, il censimento staffing della giornata deve essere bloccato. Le</w:t>
      </w:r>
      <w:r>
        <w:t xml:space="preserve"> </w:t>
      </w:r>
      <w:r>
        <w:t xml:space="preserve">assenze in attesa possono essere visualizzate con stato distinto; quelle</w:t>
      </w:r>
      <w:r>
        <w:t xml:space="preserve"> </w:t>
      </w:r>
      <w:r>
        <w:t xml:space="preserve">rifiutate non devono bloccare e non devono essere conteggiate come assenza</w:t>
      </w:r>
      <w:r>
        <w:t xml:space="preserve"> </w:t>
      </w:r>
      <w:r>
        <w:t xml:space="preserve">effettiva.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8"/>
        </w:numPr>
      </w:pPr>
      <w:r>
        <w:t xml:space="preserve">una nuova assenza compare nel Calendario senza inserimenti manuali;</w:t>
      </w:r>
    </w:p>
    <w:p>
      <w:pPr>
        <w:pStyle w:val="Compact"/>
        <w:numPr>
          <w:ilvl w:val="0"/>
          <w:numId w:val="1018"/>
        </w:numPr>
      </w:pPr>
      <w:r>
        <w:t xml:space="preserve">la visualizzazione distingue almeno tipo e stato dell’assenza;</w:t>
      </w:r>
    </w:p>
    <w:p>
      <w:pPr>
        <w:pStyle w:val="Compact"/>
        <w:numPr>
          <w:ilvl w:val="0"/>
          <w:numId w:val="1018"/>
        </w:numPr>
      </w:pPr>
      <w:r>
        <w:t xml:space="preserve">un’assenza approvata impedisce inserimento, modifica e split dello staffing</w:t>
      </w:r>
      <w:r>
        <w:t xml:space="preserve"> </w:t>
      </w:r>
      <w:r>
        <w:t xml:space="preserve">sulle date sovrapposte;</w:t>
      </w:r>
    </w:p>
    <w:p>
      <w:pPr>
        <w:pStyle w:val="Compact"/>
        <w:numPr>
          <w:ilvl w:val="0"/>
          <w:numId w:val="1018"/>
        </w:numPr>
      </w:pPr>
      <w:r>
        <w:t xml:space="preserve">il server rifiuta anche richieste API manipolate sulle date bloccate;</w:t>
      </w:r>
    </w:p>
    <w:p>
      <w:pPr>
        <w:pStyle w:val="Compact"/>
        <w:numPr>
          <w:ilvl w:val="0"/>
          <w:numId w:val="1018"/>
        </w:numPr>
      </w:pPr>
      <w:r>
        <w:t xml:space="preserve">un’assenza rifiutata non blocca lo staffing;</w:t>
      </w:r>
    </w:p>
    <w:p>
      <w:pPr>
        <w:pStyle w:val="Compact"/>
        <w:numPr>
          <w:ilvl w:val="0"/>
          <w:numId w:val="1018"/>
        </w:numPr>
      </w:pPr>
      <w:r>
        <w:t xml:space="preserve">modifica, approvazione, rifiuto o cancellazione aggiornano il Calendario;</w:t>
      </w:r>
    </w:p>
    <w:p>
      <w:pPr>
        <w:pStyle w:val="Compact"/>
        <w:numPr>
          <w:ilvl w:val="0"/>
          <w:numId w:val="1018"/>
        </w:numPr>
      </w:pPr>
      <w:r>
        <w:t xml:space="preserve">sono coperti i casi di intervallo parziale, sovrapposizione e cambio stato.</w:t>
      </w:r>
    </w:p>
    <w:p>
      <w:pPr>
        <w:pStyle w:val="FirstParagraph"/>
      </w:pPr>
      <w:r>
        <w:rPr>
          <w:b/>
          <w:bCs/>
        </w:rPr>
        <w:t xml:space="preserve">Decisione da confermare:</w:t>
      </w:r>
      <w:r>
        <w:t xml:space="preserve"> </w:t>
      </w:r>
      <w:r>
        <w:t xml:space="preserve">il blocco deve valere solo per il giorno intero</w:t>
      </w:r>
      <w:r>
        <w:t xml:space="preserve"> </w:t>
      </w:r>
      <w:r>
        <w:t xml:space="preserve">oppure anche per assenze espresse in ore? Per le assenze orarie serve</w:t>
      </w:r>
      <w:r>
        <w:t xml:space="preserve"> </w:t>
      </w:r>
      <w:r>
        <w:t xml:space="preserve">aggiungere durata e unitÃ  di misura al modello dati, se non giÃ  disponibili.</w:t>
      </w:r>
    </w:p>
    <w:bookmarkEnd w:id="125"/>
    <w:bookmarkStart w:id="126" w:name="X3cfa56c398622bb2727930ee609f4d5f2687067"/>
    <w:p>
      <w:pPr>
        <w:pStyle w:val="Heading3"/>
      </w:pPr>
      <w:r>
        <w:t xml:space="preserve">WFM-007 â€” Filtro staffing per settimana, mese e anno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Staffing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filtro temporale</w:t>
      </w:r>
    </w:p>
    <w:p>
      <w:pPr>
        <w:pStyle w:val="BodyText"/>
      </w:pPr>
      <w:r>
        <w:t xml:space="preserve">Sostituire o affiancare il filtro â€œattive in questa dataâ€ con un selettore di</w:t>
      </w:r>
      <w:r>
        <w:t xml:space="preserve"> </w:t>
      </w:r>
      <w:r>
        <w:t xml:space="preserve">periodo: settimana, mese o anno. Il filtro deve mostrare le assegnazioni che</w:t>
      </w:r>
      <w:r>
        <w:t xml:space="preserve"> </w:t>
      </w:r>
      <w:r>
        <w:t xml:space="preserve">intersecano l’intervallo selezionato, senza richiedere che siano contenute</w:t>
      </w:r>
      <w:r>
        <w:t xml:space="preserve"> </w:t>
      </w:r>
      <w:r>
        <w:t xml:space="preserve">interamente nel periodo.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9"/>
        </w:numPr>
      </w:pPr>
      <w:r>
        <w:t xml:space="preserve">sono disponibili le modalitÃ  settimana, mese e anno;</w:t>
      </w:r>
    </w:p>
    <w:p>
      <w:pPr>
        <w:pStyle w:val="Compact"/>
        <w:numPr>
          <w:ilvl w:val="0"/>
          <w:numId w:val="1019"/>
        </w:numPr>
      </w:pPr>
      <w:r>
        <w:t xml:space="preserve">l’utente puÃ² navigare al periodo precedente/successivo e tornare al periodo</w:t>
      </w:r>
      <w:r>
        <w:t xml:space="preserve"> </w:t>
      </w:r>
      <w:r>
        <w:t xml:space="preserve">corrente;</w:t>
      </w:r>
    </w:p>
    <w:p>
      <w:pPr>
        <w:pStyle w:val="Compact"/>
        <w:numPr>
          <w:ilvl w:val="0"/>
          <w:numId w:val="1019"/>
        </w:numPr>
      </w:pPr>
      <w:r>
        <w:t xml:space="preserve">un’assegnazione Ã¨ inclusa se interseca almeno un giorno dell’intervallo;</w:t>
      </w:r>
    </w:p>
    <w:p>
      <w:pPr>
        <w:pStyle w:val="Compact"/>
        <w:numPr>
          <w:ilvl w:val="0"/>
          <w:numId w:val="1019"/>
        </w:numPr>
      </w:pPr>
      <w:r>
        <w:t xml:space="preserve">i filtri persona, progetto, ricerca e ordinamento restano combinabili;</w:t>
      </w:r>
    </w:p>
    <w:p>
      <w:pPr>
        <w:pStyle w:val="Compact"/>
        <w:numPr>
          <w:ilvl w:val="0"/>
          <w:numId w:val="1019"/>
        </w:numPr>
      </w:pPr>
      <w:r>
        <w:t xml:space="preserve">il riepilogo indica periodo e numero di assegnazioni risultanti;</w:t>
      </w:r>
    </w:p>
    <w:p>
      <w:pPr>
        <w:pStyle w:val="Compact"/>
        <w:numPr>
          <w:ilvl w:val="0"/>
          <w:numId w:val="1019"/>
        </w:numPr>
      </w:pPr>
      <w:r>
        <w:t xml:space="preserve">il comportamento Ã¨ coerente tra vista Lista e vista Per persona.</w:t>
      </w:r>
    </w:p>
    <w:bookmarkEnd w:id="126"/>
    <w:bookmarkStart w:id="127" w:name="X6edbeeb3f562fdd90ae375ccba8fc82ef6cd3a6"/>
    <w:p>
      <w:pPr>
        <w:pStyle w:val="Heading3"/>
      </w:pPr>
      <w:r>
        <w:t xml:space="preserve">WFM-008 â€” Inclusione configurabile dei contractor nella produttivitÃ  mensile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/ Impostazioni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 / configurazione</w:t>
      </w:r>
    </w:p>
    <w:p>
      <w:pPr>
        <w:pStyle w:val="BodyText"/>
      </w:pPr>
      <w:r>
        <w:t xml:space="preserve">Consentire all’utente/amministratore di scegliere se le risorse esterne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 = 'consulente'</w:t>
      </w:r>
      <w:r>
        <w:t xml:space="preserve"> </w:t>
      </w:r>
      <w:r>
        <w:t xml:space="preserve">/ contractor) devono concorrere al calcolo della</w:t>
      </w:r>
      <w:r>
        <w:t xml:space="preserve"> </w:t>
      </w:r>
      <w:r>
        <w:t xml:space="preserve">produttivitÃ  e della media di allocazione mensile nella Dashboard (e relativi</w:t>
      </w:r>
      <w:r>
        <w:t xml:space="preserve"> </w:t>
      </w:r>
      <w:r>
        <w:t xml:space="preserve">KPI del team: media allocazione, FTE allocati, risorse sotto/sovra-utilizzate).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0"/>
        </w:numPr>
      </w:pPr>
      <w:r>
        <w:t xml:space="preserve">presenza di un’opzione di configurazione (in Impostazioni &gt; Soglie o toggle rapido in Dashboard) per includere/escludere i contractor dal calcolo della produttivitÃ /allocazione;</w:t>
      </w:r>
    </w:p>
    <w:p>
      <w:pPr>
        <w:pStyle w:val="Compact"/>
        <w:numPr>
          <w:ilvl w:val="0"/>
          <w:numId w:val="1020"/>
        </w:numPr>
      </w:pPr>
      <w:r>
        <w:t xml:space="preserve">quando l’opzione esclude i contractor, la media del team, le ore libere, gli FTE e gli elenchi sotto/sovra-allocazione considerano solo i dipendenti/stage;</w:t>
      </w:r>
    </w:p>
    <w:p>
      <w:pPr>
        <w:pStyle w:val="Compact"/>
        <w:numPr>
          <w:ilvl w:val="0"/>
          <w:numId w:val="1020"/>
        </w:numPr>
      </w:pPr>
      <w:r>
        <w:t xml:space="preserve">la vista di riepilogo dei progetti continua a mostrare l’allocazione effettiva complessiva sul progetto o evidenzia la quota contractor/dipendenti;</w:t>
      </w:r>
    </w:p>
    <w:p>
      <w:pPr>
        <w:pStyle w:val="Compact"/>
        <w:numPr>
          <w:ilvl w:val="0"/>
          <w:numId w:val="1020"/>
        </w:numPr>
      </w:pPr>
      <w:r>
        <w:t xml:space="preserve">lo stato dell’impostazione viene persistito ed Ã¨ coerente al cambio mese/settimana/anno;</w:t>
      </w:r>
    </w:p>
    <w:p>
      <w:pPr>
        <w:pStyle w:val="Compact"/>
        <w:numPr>
          <w:ilvl w:val="0"/>
          <w:numId w:val="1020"/>
        </w:numPr>
      </w:pPr>
      <w:r>
        <w:t xml:space="preserve">calcoli e formule sono coperti da test unitari.</w:t>
      </w:r>
    </w:p>
    <w:bookmarkEnd w:id="127"/>
    <w:bookmarkStart w:id="128" w:name="X9cd5384eba9991ee0adf6f8b4bdb9f6392c47de"/>
    <w:p>
      <w:pPr>
        <w:pStyle w:val="Heading3"/>
      </w:pPr>
      <w:r>
        <w:t xml:space="preserve">WFM-009 â€” Visualizzazione tipo persona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Nel Calendario, mostrare esplicitamente per ogni risorsa il campo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definito nell’anagrafica Persone 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),</w:t>
      </w:r>
      <w:r>
        <w:t xml:space="preserve"> </w:t>
      </w:r>
      <w:r>
        <w:t xml:space="preserve">tramite etichetta/badge dedicato o testo affiancato al nome, integrato da</w:t>
      </w:r>
      <w:r>
        <w:t xml:space="preserve"> </w:t>
      </w:r>
      <w:r>
        <w:t xml:space="preserve">un tooltip esplicativo (es:</w:t>
      </w:r>
      <w:r>
        <w:t xml:space="preserve"> </w:t>
      </w:r>
      <w:r>
        <w:rPr>
          <w:i/>
          <w:iCs/>
        </w:rPr>
        <w:t xml:space="preserve">Eustachio Sardone (Dipendente)</w:t>
      </w:r>
      <w:r>
        <w:t xml:space="preserve">,</w:t>
      </w:r>
      <w:r>
        <w:t xml:space="preserve"> </w:t>
      </w:r>
      <w:r>
        <w:rPr>
          <w:i/>
          <w:iCs/>
        </w:rPr>
        <w:t xml:space="preserve">Claudio Anelli (Consulente)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1"/>
        </w:numPr>
      </w:pPr>
      <w:r>
        <w:t xml:space="preserve">il tipo persona 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 Ã¨ incluso nel payload dello snapshot staffing (</w:t>
      </w:r>
      <w:r>
        <w:rPr>
          <w:rStyle w:val="VerbatimChar"/>
        </w:rPr>
        <w:t xml:space="preserve">/staffing/snapshot</w:t>
      </w:r>
      <w:r>
        <w:t xml:space="preserve">) e fruibile nel Calendario;</w:t>
      </w:r>
    </w:p>
    <w:p>
      <w:pPr>
        <w:pStyle w:val="Compact"/>
        <w:numPr>
          <w:ilvl w:val="0"/>
          <w:numId w:val="1021"/>
        </w:numPr>
      </w:pPr>
      <w:r>
        <w:t xml:space="preserve">nella colonna</w:t>
      </w:r>
      <w:r>
        <w:t xml:space="preserve"> </w:t>
      </w:r>
      <w:r>
        <w:t xml:space="preserve">“Persona”</w:t>
      </w:r>
      <w:r>
        <w:t xml:space="preserve"> </w:t>
      </w:r>
      <w:r>
        <w:t xml:space="preserve">Ã¨ visibile la tipologia risorsa accanto al nome (es. badge/etichetta o testo formattato);</w:t>
      </w:r>
    </w:p>
    <w:p>
      <w:pPr>
        <w:pStyle w:val="Compact"/>
        <w:numPr>
          <w:ilvl w:val="0"/>
          <w:numId w:val="1021"/>
        </w:numPr>
      </w:pPr>
      <w:r>
        <w:t xml:space="preserve">al passaggio del mouse sul nome della persona Ã¨ disponibile un tooltip esplicito con formato</w:t>
      </w:r>
      <w:r>
        <w:t xml:space="preserve"> </w:t>
      </w:r>
      <w:r>
        <w:rPr>
          <w:rStyle w:val="VerbatimChar"/>
        </w:rPr>
        <w:t xml:space="preserve">Nome Cognome (Tipo)</w:t>
      </w:r>
      <w:r>
        <w:t xml:space="preserve"> </w:t>
      </w:r>
      <w:r>
        <w:t xml:space="preserve">e ruolo;</w:t>
      </w:r>
    </w:p>
    <w:p>
      <w:pPr>
        <w:pStyle w:val="Compact"/>
        <w:numPr>
          <w:ilvl w:val="0"/>
          <w:numId w:val="1021"/>
        </w:numPr>
      </w:pPr>
      <w:r>
        <w:t xml:space="preserve">la visualizzazione Ã¨ attiva sia in modalitÃ  Staffing sia in Ferie/Assenze;</w:t>
      </w:r>
    </w:p>
    <w:p>
      <w:pPr>
        <w:pStyle w:val="Compact"/>
        <w:numPr>
          <w:ilvl w:val="0"/>
          <w:numId w:val="1021"/>
        </w:numPr>
      </w:pPr>
      <w:r>
        <w:t xml:space="preserve">il filtro di ricerca persone nel Calendario permette la ricerca anche per tipo risorsa.</w:t>
      </w:r>
    </w:p>
    <w:bookmarkEnd w:id="128"/>
    <w:bookmarkStart w:id="129" w:name="X95a55bfa3b77a5a4a3bc608be5dc95cf1ceb749"/>
    <w:p>
      <w:pPr>
        <w:pStyle w:val="Heading3"/>
      </w:pPr>
      <w:r>
        <w:t xml:space="preserve">WFM-010 â€” Visualizzazione codice commessa nella selezione assegnazione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/ Assegnazioni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Quando si assegna o si modifica un progetto nel Calendario (sia dal menu a</w:t>
      </w:r>
      <w:r>
        <w:t xml:space="preserve"> </w:t>
      </w:r>
      <w:r>
        <w:t xml:space="preserve">tendina della riga espansa, sia dal modale di assegnazione rapida /</w:t>
      </w:r>
      <w:r>
        <w:t xml:space="preserve"> </w:t>
      </w:r>
      <w:r>
        <w:t xml:space="preserve">AssignmentModal), mostrare chiaramente sia il</w:t>
      </w:r>
      <w:r>
        <w:t xml:space="preserve"> </w:t>
      </w:r>
      <w:r>
        <w:rPr>
          <w:b/>
          <w:bCs/>
        </w:rPr>
        <w:t xml:space="preserve">nome del progetto</w:t>
      </w:r>
      <w:r>
        <w:t xml:space="preserve"> </w:t>
      </w:r>
      <w:r>
        <w:t xml:space="preserve">sia il</w:t>
      </w:r>
      <w:r>
        <w:t xml:space="preserve"> </w:t>
      </w:r>
      <w:r>
        <w:t xml:space="preserve">relativo</w:t>
      </w:r>
      <w:r>
        <w:t xml:space="preserve"> </w:t>
      </w:r>
      <w:r>
        <w:rPr>
          <w:b/>
          <w:bCs/>
        </w:rPr>
        <w:t xml:space="preserve">codice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). Esempio:</w:t>
      </w:r>
      <w:r>
        <w:t xml:space="preserve"> </w:t>
      </w:r>
      <w:r>
        <w:rPr>
          <w:i/>
          <w:iCs/>
        </w:rPr>
        <w:t xml:space="preserve">Migrazione Cloud (migrazione-cloud-2026-09-04)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2"/>
        </w:numPr>
      </w:pPr>
      <w:r>
        <w:t xml:space="preserve">nel dropdown di selezione del progetto delle righe assegnazione del Calendario, le opzioni mostrano formato esplicito</w:t>
      </w:r>
      <w:r>
        <w:t xml:space="preserve"> </w:t>
      </w:r>
      <w:r>
        <w:rPr>
          <w:rStyle w:val="VerbatimChar"/>
        </w:rPr>
        <w:t xml:space="preserve">[Nome Progetto] (Commessa: [commessaId])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t xml:space="preserve">nel selettore progetto del modale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, ogni opzione include sia il nome del progetto sia l’identificativo commessa;</w:t>
      </w:r>
    </w:p>
    <w:p>
      <w:pPr>
        <w:pStyle w:val="Compact"/>
        <w:numPr>
          <w:ilvl w:val="0"/>
          <w:numId w:val="1022"/>
        </w:numPr>
      </w:pPr>
      <w:r>
        <w:t xml:space="preserve">nel tooltip informativo delle celle del calendario, accanto al nome progetto Ã¨ presente anche il codice commessa per disambiguare assegnazioni su progetti simili/omonimi;</w:t>
      </w:r>
    </w:p>
    <w:p>
      <w:pPr>
        <w:pStyle w:val="Compact"/>
        <w:numPr>
          <w:ilvl w:val="0"/>
          <w:numId w:val="1022"/>
        </w:numPr>
      </w:pPr>
      <w:r>
        <w:t xml:space="preserve">la selezione continua a salvare correttamente il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corrispondente senza regressioni.</w:t>
      </w:r>
    </w:p>
    <w:bookmarkEnd w:id="129"/>
    <w:bookmarkEnd w:id="130"/>
    <w:bookmarkStart w:id="131" w:name="ordine-suggerito-di-rilascio"/>
    <w:p>
      <w:pPr>
        <w:pStyle w:val="Heading2"/>
      </w:pPr>
      <w:r>
        <w:t xml:space="preserve">Ordine suggerito di rilascio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P0 â€” IntegritÃ  del calendario:</w:t>
      </w:r>
      <w:r>
        <w:t xml:space="preserve"> </w:t>
      </w:r>
      <w:r>
        <w:t xml:space="preserve">WFM-001 e WFM-006, includendo i</w:t>
      </w:r>
      <w:r>
        <w:t xml:space="preserve"> </w:t>
      </w:r>
      <w:r>
        <w:t xml:space="preserve">controlli server-side e i test sulle sovrapposizioni.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OperativitÃ  quotidiana:</w:t>
      </w:r>
      <w:r>
        <w:t xml:space="preserve"> </w:t>
      </w:r>
      <w:r>
        <w:t xml:space="preserve">WFM-003, WFM-004 e WFM-007.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Reporting:</w:t>
      </w:r>
      <w:r>
        <w:t xml:space="preserve"> </w:t>
      </w:r>
      <w:r>
        <w:t xml:space="preserve">WFM-005, dopo la decisione sulla definizione di</w:t>
      </w:r>
      <w:r>
        <w:t xml:space="preserve"> </w:t>
      </w:r>
      <w:r>
        <w:t xml:space="preserve">â€œproduttivitÃ â€.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Supporto decisionale:</w:t>
      </w:r>
      <w:r>
        <w:t xml:space="preserve"> </w:t>
      </w:r>
      <w:r>
        <w:t xml:space="preserve">WFM-002, dopo la conferma della formula</w:t>
      </w:r>
      <w:r>
        <w:t xml:space="preserve"> </w:t>
      </w:r>
      <w:r>
        <w:t xml:space="preserve">ore/settimana â†’ ore/giorno.</w:t>
      </w:r>
    </w:p>
    <w:bookmarkEnd w:id="131"/>
    <w:bookmarkStart w:id="132" w:name="stato-implementazione-â-2026-09-11"/>
    <w:p>
      <w:pPr>
        <w:pStyle w:val="Heading2"/>
      </w:pPr>
      <w:r>
        <w:t xml:space="preserve">Stato implementazione â€” 2026-09-11</w:t>
      </w:r>
    </w:p>
    <w:p>
      <w:pPr>
        <w:pStyle w:val="FirstParagraph"/>
      </w:pPr>
      <w:r>
        <w:t xml:space="preserve">Gli item richiesti sono stati implementati nel codice corrente: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WFM-001:</w:t>
      </w:r>
      <w:r>
        <w:t xml:space="preserve"> </w:t>
      </w:r>
      <w:r>
        <w:t xml:space="preserve">blocco server-side e disabilitazione UI sulle festivitÃ 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WFM-002:</w:t>
      </w:r>
      <w:r>
        <w:t xml:space="preserve"> </w:t>
      </w:r>
      <w:r>
        <w:t xml:space="preserve">tooltip percentuale/ore nel Calendario, con capacitÃ  su 5 giorni</w:t>
      </w:r>
      <w:r>
        <w:t xml:space="preserve"> </w:t>
      </w:r>
      <w:r>
        <w:t xml:space="preserve">lavorativi;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WFM-003:</w:t>
      </w:r>
      <w:r>
        <w:t xml:space="preserve"> </w:t>
      </w:r>
      <w:r>
        <w:t xml:space="preserve">selezione e cancellazione multipla delle Persone;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WFM-004:</w:t>
      </w:r>
      <w:r>
        <w:t xml:space="preserve"> </w:t>
      </w:r>
      <w:r>
        <w:t xml:space="preserve">filtro ricercabile multiselezione delle persone nel Calendario,</w:t>
      </w:r>
      <w:r>
        <w:t xml:space="preserve"> </w:t>
      </w:r>
      <w:r>
        <w:t xml:space="preserve">senza checkbox sulle righe;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WFM-005:</w:t>
      </w:r>
      <w:r>
        <w:t xml:space="preserve"> </w:t>
      </w:r>
      <w:r>
        <w:t xml:space="preserve">media allocazione e ore equivalenti per progetto in Dashboard;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WFM-006:</w:t>
      </w:r>
      <w:r>
        <w:t xml:space="preserve"> </w:t>
      </w:r>
      <w:r>
        <w:t xml:space="preserve">visualizzazione assenze, durata oraria opzionale e blocco</w:t>
      </w:r>
      <w:r>
        <w:t xml:space="preserve"> </w:t>
      </w:r>
      <w:r>
        <w:t xml:space="preserve">server-side delle assegnazioni su assenze approvate;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WFM-007:</w:t>
      </w:r>
      <w:r>
        <w:t xml:space="preserve"> </w:t>
      </w:r>
      <w:r>
        <w:t xml:space="preserve">filtro Staffing per tutto/settimana/mese/anno;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WFM-008:</w:t>
      </w:r>
      <w:r>
        <w:t xml:space="preserve"> </w:t>
      </w:r>
      <w:r>
        <w:t xml:space="preserve">inclusione/esclusione configurabile dei contractor dalla produttivitÃ  mensile in Dashboard e Impostazioni;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WFM-009:</w:t>
      </w:r>
      <w:r>
        <w:t xml:space="preserve"> </w:t>
      </w:r>
      <w:r>
        <w:t xml:space="preserve">visualizzazione del tipo persona (badge e tooltip</w:t>
      </w:r>
      <w:r>
        <w:t xml:space="preserve"> </w:t>
      </w:r>
      <w:r>
        <w:rPr>
          <w:rStyle w:val="VerbatimChar"/>
        </w:rPr>
        <w:t xml:space="preserve">Nome (Tipo) - Ruolo</w:t>
      </w:r>
      <w:r>
        <w:t xml:space="preserve">) nel Calendario e filtro persone arricchito;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WFM-010:</w:t>
      </w:r>
      <w:r>
        <w:t xml:space="preserve"> </w:t>
      </w:r>
      <w:r>
        <w:t xml:space="preserve">visualizzazione del codice commessa (</w:t>
      </w:r>
      <w:r>
        <w:rPr>
          <w:rStyle w:val="VerbatimChar"/>
        </w:rPr>
        <w:t xml:space="preserve">commessaId</w:t>
      </w:r>
      <w:r>
        <w:t xml:space="preserve">) nella selezione progetto per le assegnazioni nel Calendario e nel modale di assegnazione.</w:t>
      </w:r>
    </w:p>
    <w:p>
      <w:pPr>
        <w:pStyle w:val="FirstParagraph"/>
      </w:pPr>
      <w:r>
        <w:t xml:space="preserve">Le decisioni aperte sono state risolte cosÃ¬: festivitÃ  e assenze approvate</w:t>
      </w:r>
      <w:r>
        <w:t xml:space="preserve"> </w:t>
      </w:r>
      <w:r>
        <w:t xml:space="preserve">bloccano l’inserimento; â€œproduttivitÃ â€ Ã¨ rappresentata dalla media di</w:t>
      </w:r>
      <w:r>
        <w:t xml:space="preserve"> </w:t>
      </w:r>
      <w:r>
        <w:t xml:space="preserve">allocazione fino a quando non esiste un dato consuntivo; l’inclusione dei</w:t>
      </w:r>
      <w:r>
        <w:t xml:space="preserve"> </w:t>
      </w:r>
      <w:r>
        <w:t xml:space="preserve">contractor nella produttivitÃ  mensile Ã¨ configurabile sia a livello globale</w:t>
      </w:r>
      <w:r>
        <w:t xml:space="preserve"> </w:t>
      </w:r>
      <w:r>
        <w:t xml:space="preserve">che tramite switch rapido in Dashboard; la capacitÃ  giornaliera usa la</w:t>
      </w:r>
      <w:r>
        <w:t xml:space="preserve"> </w:t>
      </w:r>
      <w:r>
        <w:t xml:space="preserve">settimana lavorativa di 5 giorni; un’assenza oraria Ã¨ ammessa su una singola</w:t>
      </w:r>
      <w:r>
        <w:t xml:space="preserve"> </w:t>
      </w:r>
      <w:r>
        <w:t xml:space="preserve">giornata e, come regola prudenziale, una volta approvata blocca l’intera</w:t>
      </w:r>
      <w:r>
        <w:t xml:space="preserve"> </w:t>
      </w:r>
      <w:r>
        <w:t xml:space="preserve">giornata di staffing.</w:t>
      </w:r>
    </w:p>
    <w:bookmarkEnd w:id="132"/>
    <w:bookmarkStart w:id="133" w:name="decisioni-aperte"/>
    <w:p>
      <w:pPr>
        <w:pStyle w:val="Heading2"/>
      </w:pPr>
      <w:r>
        <w:t xml:space="preserve">Decisioni aperte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Opzioni</w:t>
            </w:r>
          </w:p>
        </w:tc>
        <w:tc>
          <w:tcPr/>
          <w:p>
            <w:pPr>
              <w:pStyle w:val="Compact"/>
            </w:pPr>
            <w:r>
              <w:t xml:space="preserve">Responsabile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t xml:space="preserve">blocco rigido / alert con conferma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ProduttivitÃ </w:t>
            </w:r>
          </w:p>
        </w:tc>
        <w:tc>
          <w:tcPr/>
          <w:p>
            <w:pPr>
              <w:pStyle w:val="Compact"/>
            </w:pPr>
            <w:r>
              <w:t xml:space="preserve">allocazione / ore allocate / consuntivo</w:t>
            </w:r>
          </w:p>
        </w:tc>
        <w:tc>
          <w:tcPr/>
          <w:p>
            <w:pPr>
              <w:pStyle w:val="Compact"/>
            </w:pPr>
            <w:r>
              <w:t xml:space="preserve">Product owner +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CapacitÃ  giornaliera</w:t>
            </w:r>
          </w:p>
        </w:tc>
        <w:tc>
          <w:tcPr/>
          <w:p>
            <w:pPr>
              <w:pStyle w:val="Compact"/>
            </w:pPr>
            <w:r>
              <w:t xml:space="preserve">ore settimanali / 5 giorni o / 7 giorni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 orarie</w:t>
            </w:r>
          </w:p>
        </w:tc>
        <w:tc>
          <w:tcPr/>
          <w:p>
            <w:pPr>
              <w:pStyle w:val="Compact"/>
            </w:pPr>
            <w:r>
              <w:t xml:space="preserve">supportare ore nel modello / solo giornate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</w:tbl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</dc:title>
  <dc:creator/>
  <cp:keywords/>
  <dcterms:created xsi:type="dcterms:W3CDTF">2026-10-05T19:35:51Z</dcterms:created>
  <dcterms:modified xsi:type="dcterms:W3CDTF">2026-10-05T19:35:51Z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2026-10-05</vt:lpwstr>
  </property>
  <property fmtid="{D5CDD505-2E9C-101B-9397-08002B2CF9AE}" pid="3" name="subtitle">
    <vt:lpwstr>Documentazione funzionale, architetturale, tecnica e di sicurezza</vt:lpwstr>
  </property>
</Properties>
</file>