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7.png" ContentType="image/png"/>
  <Override PartName="/word/media/rId71.png" ContentType="image/png"/>
  <Override PartName="/word/media/rId76.png" ContentType="image/png"/>
  <Override PartName="/word/media/rId94.png" ContentType="image/png"/>
  <Override PartName="/word/media/rId27.png" ContentType="image/png"/>
  <Override PartName="/word/media/rId31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 — Documentazione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2026-07-29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è un’applicazione web per la pianificazione e il controllo</w:t>
      </w:r>
      <w:r>
        <w:t xml:space="preserve"> </w:t>
      </w:r>
      <w:r>
        <w:t xml:space="preserve">della capacità di un team di consulenza/delivery: chi lavora su quali</w:t>
      </w:r>
      <w:r>
        <w:t xml:space="preserve"> </w:t>
      </w:r>
      <w:r>
        <w:t xml:space="preserve">progetti, con quale percentuale di impegno, chi è sotto o sovra-allocato, chi</w:t>
      </w:r>
      <w:r>
        <w:t xml:space="preserve"> </w:t>
      </w:r>
      <w:r>
        <w:t xml:space="preserve">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storicità</w:t>
      </w:r>
      <w:r>
        <w:t xml:space="preserve"> </w:t>
      </w:r>
      <w:r>
        <w:t xml:space="preserve">(registro attività),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→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—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team, capacità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Include inoltre una vista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con barra colorata (verde/ambra/rosso in base alle</w:t>
      </w:r>
      <w:r>
        <w:t xml:space="preserve"> </w:t>
      </w:r>
      <w:r>
        <w:t xml:space="preserve">soglie configurate in Impostazioni).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 colore</w:t>
      </w:r>
      <w:r>
        <w:t xml:space="preserve"> </w:t>
      </w:r>
      <w:r>
        <w:t xml:space="preserve">identificativo, capacità settimanale base (ore), responsabile gerarchico</w:t>
      </w:r>
      <w:r>
        <w:t xml:space="preserve"> </w:t>
      </w:r>
      <w:r>
        <w:t xml:space="preserve">(</w:t>
      </w:r>
      <w:r>
        <w:rPr>
          <w:rStyle w:val="VerbatimChar"/>
        </w:rPr>
        <w:t xml:space="preserve">managerId</w:t>
      </w:r>
      <w:r>
        <w:t xml:space="preserve">, 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 abilita ad approvare le assenze altrui). CRUD completo,</w:t>
      </w:r>
      <w:r>
        <w:t xml:space="preserve"> </w:t>
      </w:r>
      <w:r>
        <w:t xml:space="preserve">import/export CSV. Il dettaglio persona mostra lo storico assegnazioni,</w:t>
      </w:r>
      <w:r>
        <w:t xml:space="preserve"> </w:t>
      </w:r>
      <w:r>
        <w:t xml:space="preserve">le assenze e i periodi di capacità variabile (override temporanei della</w:t>
      </w:r>
      <w:r>
        <w:t xml:space="preserve"> </w:t>
      </w:r>
      <w:r>
        <w:t xml:space="preserve">capacità base, es. 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—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persona↔progetto↔percentuale↔periodo.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§4.1</w:t>
        </w:r>
      </w:hyperlink>
      <w:r>
        <w:t xml:space="preserve">).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× periodo (settimana/mese/anno), con due modalità: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70–100%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un’unità — giorno/settimana/mese/anno —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§4.1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</w:t>
      </w:r>
      <w:r>
        <w:t xml:space="preserve">: percentuali di sotto/sovra-allocazione usate per colorare</w:t>
      </w:r>
      <w:r>
        <w:t xml:space="preserve"> </w:t>
      </w:r>
      <w:r>
        <w:t xml:space="preserve">Dashboard, Persone e Calendario.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Festività</w:t>
      </w:r>
      <w:r>
        <w:t xml:space="preserve">: festività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entità e intervallo di date.</w:t>
      </w:r>
    </w:p>
    <w:bookmarkEnd w:id="21"/>
    <w:bookmarkEnd w:id="22"/>
    <w:bookmarkStart w:id="36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può essere staffata al 60% su un progetto e al</w:t>
      </w:r>
      <w:r>
        <w:t xml:space="preserve"> </w:t>
      </w:r>
      <w:r>
        <w:t xml:space="preserve">40% su un altro nella stessa settimana → 100% totale).</w:t>
      </w:r>
    </w:p>
    <w:p>
      <w:pPr>
        <w:pStyle w:val="BodyText"/>
      </w:pPr>
      <w:r>
        <w:t xml:space="preserve">Due operazioni meritano attenzione perché contengono la logica di dominio</w:t>
      </w:r>
      <w:r>
        <w:t xml:space="preserve"> </w:t>
      </w:r>
      <w:r>
        <w:t xml:space="preserve">più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—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drawing>
          <wp:inline>
            <wp:extent cx="5334000" cy="78817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—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unità (giorno/settimana/mese/anno) all’interno di un’assegnazione più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dell’unità modificata (percentuale invariata), l’unità stessa (nuova</w:t>
      </w:r>
      <w:r>
        <w:t xml:space="preserve"> </w:t>
      </w:r>
      <w:r>
        <w:t xml:space="preserve">percentuale) e la parte dopo (percentuale invariata) —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capacità</w:t>
      </w:r>
      <w:r>
        <w:t xml:space="preserve"> </w:t>
      </w:r>
      <w:r>
        <w:t xml:space="preserve">di una persona (ore/settimana usate per calcolare se è</w:t>
      </w:r>
      <w:r>
        <w:t xml:space="preserve"> </w:t>
      </w:r>
      <w:r>
        <w:t xml:space="preserve">sotto/sovra-allocata) 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—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drawing>
          <wp:inline>
            <wp:extent cx="5334000" cy="540842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può approvare/rifiutare non è vincolato via codice a una gerarchia</w:t>
      </w:r>
      <w:r>
        <w:t xml:space="preserve"> </w:t>
      </w:r>
      <w:r>
        <w:t xml:space="preserve">specifica (qualunque utente con accesso alla sezione Ferie/Assenze può</w:t>
      </w:r>
      <w:r>
        <w:t xml:space="preserve"> </w:t>
      </w:r>
      <w:r>
        <w:t xml:space="preserve">farlo) —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né, quando la richiesta 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— l’approvazione 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drawing>
          <wp:inline>
            <wp:extent cx="5334000" cy="1728951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8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può togliersi da solo l’accesso a Impostazioni → Utenti), 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— l’importazione non fallisce</w:t>
      </w:r>
      <w:r>
        <w:t xml:space="preserve"> </w:t>
      </w:r>
      <w:r>
        <w:t xml:space="preserve">nel suo complesso — e la risposta riporta quante righe sono state importate e</w:t>
      </w:r>
      <w:r>
        <w:t xml:space="preserve"> </w:t>
      </w:r>
      <w:r>
        <w:t xml:space="preserve">quante saltate, così l’utente può correggere e ripetere solo quelle</w:t>
      </w:r>
      <w:r>
        <w:t xml:space="preserve"> </w:t>
      </w:r>
      <w:r>
        <w:t xml:space="preserve">mancanti.</w:t>
      </w:r>
    </w:p>
    <w:bookmarkEnd w:id="35"/>
    <w:bookmarkEnd w:id="36"/>
    <w:bookmarkStart w:id="37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→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→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festività aziendali</w:t>
            </w:r>
          </w:p>
        </w:tc>
        <w:tc>
          <w:tcPr/>
          <w:p>
            <w:pPr>
              <w:pStyle w:val="Compact"/>
            </w:pPr>
            <w:r>
              <w:t xml:space="preserve">Impostazioni → Soglie / Festività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→ Registro attività</w:t>
            </w:r>
          </w:p>
        </w:tc>
      </w:tr>
    </w:tbl>
    <w:bookmarkEnd w:id="37"/>
    <w:bookmarkStart w:id="38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unità di misura della capacità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p>
      <w:r>
        <w:br w:type="page"/>
      </w:r>
    </w:p>
    <w:bookmarkEnd w:id="38"/>
    <w:bookmarkEnd w:id="39"/>
    <w:bookmarkStart w:id="83" w:name="documentazione-architetturale"/>
    <w:p>
      <w:pPr>
        <w:pStyle w:val="Heading1"/>
      </w:pPr>
      <w:r>
        <w:t xml:space="preserve">Documentazione architetturale</w:t>
      </w:r>
    </w:p>
    <w:bookmarkStart w:id="43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drawing>
          <wp:inline>
            <wp:extent cx="5334000" cy="153406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— un solo servizio da</w:t>
      </w:r>
      <w:r>
        <w:t xml:space="preserve"> </w:t>
      </w:r>
      <w:r>
        <w:t xml:space="preserve">distribuire, nessun reverse proxy dedicato al frontend.</w:t>
      </w:r>
    </w:p>
    <w:bookmarkEnd w:id="43"/>
    <w:bookmarkStart w:id="48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drawing>
          <wp:inline>
            <wp:extent cx="5334000" cy="2459031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5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0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sempre da Drizzle (mai SQL grezzo</w:t>
      </w:r>
      <w:r>
        <w:t xml:space="preserve"> </w:t>
      </w:r>
      <w:r>
        <w:t xml:space="preserve">sparso nei router, salvo il singolo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usato solo nell’harness dei</w:t>
      </w:r>
      <w:r>
        <w:t xml:space="preserve"> </w:t>
      </w:r>
      <w:r>
        <w:t xml:space="preserve">test — vedi</w:t>
      </w:r>
      <w:r>
        <w:t xml:space="preserve"> </w:t>
      </w:r>
      <w:hyperlink r:id="rId47">
        <w:r>
          <w:rPr>
            <w:rStyle w:val="Hyperlink"/>
          </w:rPr>
          <w:t xml:space="preserve">03-tecnica.md</w:t>
        </w:r>
      </w:hyperlink>
      <w:r>
        <w:t xml:space="preserve">).</w:t>
      </w:r>
    </w:p>
    <w:bookmarkEnd w:id="48"/>
    <w:bookmarkStart w:id="53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drawing>
          <wp:inline>
            <wp:extent cx="5334000" cy="108956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è in</w:t>
      </w:r>
      <w:r>
        <w:t xml:space="preserve"> </w:t>
      </w:r>
      <w:hyperlink r:id="rId52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3"/>
    <w:bookmarkStart w:id="58" w:name="modello-dati-diagramma-entità-relazione"/>
    <w:p>
      <w:pPr>
        <w:pStyle w:val="Heading2"/>
      </w:pPr>
      <w:r>
        <w:t xml:space="preserve">4. Modello dati (diagramma entità-relazione)</w:t>
      </w:r>
    </w:p>
    <w:p>
      <w:pPr>
        <w:pStyle w:val="FirstParagraph"/>
      </w:pPr>
      <w:r>
        <w:drawing>
          <wp:inline>
            <wp:extent cx="5334000" cy="288382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7">
        <w:r>
          <w:rPr>
            <w:rStyle w:val="Hyperlink"/>
          </w:rPr>
          <w:t xml:space="preserve">01-funzionale.md 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così il log resta</w:t>
      </w:r>
      <w:r>
        <w:t xml:space="preserve"> </w:t>
      </w:r>
      <w:r>
        <w:t xml:space="preserve">leggibile e integro anche se l’utente che ha compiuto l’azione o l’entità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utente↔permesso):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—</w:t>
      </w:r>
      <w:r>
        <w:t xml:space="preserve"> </w:t>
      </w:r>
      <w:r>
        <w:t xml:space="preserve">non si perdono righe collegate solo perché un riferimento gerarchico</w:t>
      </w:r>
      <w:r>
        <w:t xml:space="preserve"> </w:t>
      </w:r>
      <w:r>
        <w:t xml:space="preserve">viene rimosso.</w:t>
      </w:r>
    </w:p>
    <w:bookmarkEnd w:id="58"/>
    <w:bookmarkStart w:id="62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entità, con i metodi/le regole di</w:t>
      </w:r>
      <w:r>
        <w:t xml:space="preserve"> </w:t>
      </w:r>
      <w:r>
        <w:t xml:space="preserve">dominio più rilevanti (non necessariamente implementati come metodi di</w:t>
      </w:r>
      <w:r>
        <w:t xml:space="preserve"> </w:t>
      </w:r>
      <w:r>
        <w:t xml:space="preserve">classe nel codice — qui la logica è funzionale, dentro ai router — ma</w:t>
      </w:r>
      <w:r>
        <w:t xml:space="preserve"> </w:t>
      </w:r>
      <w:r>
        <w:t xml:space="preserve">concettualmente di competenza di ciascuna entità):</w:t>
      </w:r>
    </w:p>
    <w:p>
      <w:pPr>
        <w:pStyle w:val="BodyText"/>
      </w:pPr>
      <w:r>
        <w:drawing>
          <wp:inline>
            <wp:extent cx="5334000" cy="525268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— omesso dal diagramma per leggibilità, dettagliato nell’</w:t>
      </w:r>
      <w:hyperlink w:anchor="X2298080535456197041cee146b49ddedf9263b5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2"/>
    <w:bookmarkStart w:id="75" w:name="diagrammi-di-sequenza"/>
    <w:p>
      <w:pPr>
        <w:pStyle w:val="Heading2"/>
      </w:pPr>
      <w:r>
        <w:t xml:space="preserve">6. Diagrammi di sequenza</w:t>
      </w:r>
    </w:p>
    <w:bookmarkStart w:id="66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drawing>
          <wp:inline>
            <wp:extent cx="5334000" cy="472145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1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6"/>
    <w:bookmarkStart w:id="70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drawing>
          <wp:inline>
            <wp:extent cx="5334000" cy="278958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10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drawing>
          <wp:inline>
            <wp:extent cx="5334000" cy="25314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1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80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drawing>
          <wp:inline>
            <wp:extent cx="5334000" cy="828501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79">
        <w:r>
          <w:rPr>
            <w:rStyle w:val="Hyperlink"/>
          </w:rPr>
          <w:t xml:space="preserve">03-tecnica.md §CI/CD</w:t>
        </w:r>
      </w:hyperlink>
      <w:r>
        <w:t xml:space="preserve">.</w:t>
      </w:r>
    </w:p>
    <w:bookmarkEnd w:id="80"/>
    <w:bookmarkStart w:id="82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1">
        <w:r>
          <w:rPr>
            <w:rStyle w:val="Hyperlink"/>
          </w:rPr>
          <w:t xml:space="preserve">README</w:t>
        </w:r>
      </w:hyperlink>
      <w:r>
        <w:t xml:space="preserve">.</w:t>
      </w:r>
    </w:p>
    <w:p>
      <w:r>
        <w:br w:type="page"/>
      </w:r>
    </w:p>
    <w:bookmarkEnd w:id="82"/>
    <w:bookmarkEnd w:id="83"/>
    <w:bookmarkStart w:id="101" w:name="documentazione-tecnica"/>
    <w:p>
      <w:pPr>
        <w:pStyle w:val="Heading1"/>
      </w:pPr>
      <w:r>
        <w:t xml:space="preserve">Documentazione tecnica</w:t>
      </w:r>
    </w:p>
    <w:bookmarkStart w:id="89" w:name="stack-tecnologico"/>
    <w:p>
      <w:pPr>
        <w:pStyle w:val="Heading2"/>
      </w:pPr>
      <w:r>
        <w:t xml:space="preserve">1. Stack tecnologico</w:t>
      </w:r>
    </w:p>
    <w:bookmarkStart w:id="84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4"/>
    <w:bookmarkStart w:id="85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5"/>
    <w:bookmarkStart w:id="86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6"/>
    <w:bookmarkStart w:id="87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7"/>
    <w:bookmarkStart w:id="88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— pipeline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build-and-deploy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—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— database di produzione</w:t>
      </w:r>
    </w:p>
    <w:bookmarkEnd w:id="88"/>
    <w:bookmarkEnd w:id="89"/>
    <w:bookmarkStart w:id="90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→ app Express configurata (middleware + router), SENZA .listen()</w:t>
      </w:r>
      <w:r>
        <w:br/>
      </w:r>
      <w:r>
        <w:rPr>
          <w:rStyle w:val="VerbatimChar"/>
        </w:rPr>
        <w:t xml:space="preserve">  index.ts             → entry point: dotenv, app.listen()</w:t>
      </w:r>
      <w:r>
        <w:br/>
      </w:r>
      <w:r>
        <w:rPr>
          <w:rStyle w:val="VerbatimChar"/>
        </w:rPr>
        <w:t xml:space="preserve">  db.ts                → connessione PostgreSQL (Pool + istanza Drizzle)</w:t>
      </w:r>
      <w:r>
        <w:br/>
      </w:r>
      <w:r>
        <w:rPr>
          <w:rStyle w:val="VerbatimChar"/>
        </w:rPr>
        <w:t xml:space="preserve">  schema.ts             → schema Drizzle: tabelle, enum, tipi inferiti</w:t>
      </w:r>
      <w:r>
        <w:br/>
      </w:r>
      <w:r>
        <w:rPr>
          <w:rStyle w:val="VerbatimChar"/>
        </w:rPr>
        <w:t xml:space="preserve">  auth.ts               →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→ helper per scrivere nel registro attività</w:t>
      </w:r>
      <w:r>
        <w:br/>
      </w:r>
      <w:r>
        <w:rPr>
          <w:rStyle w:val="VerbatimChar"/>
        </w:rPr>
        <w:t xml:space="preserve">  commessaId.ts         → generazione slug identificativo commessa</w:t>
      </w:r>
      <w:r>
        <w:br/>
      </w:r>
      <w:r>
        <w:rPr>
          <w:rStyle w:val="VerbatimChar"/>
        </w:rPr>
        <w:t xml:space="preserve">  asyncHandler.ts        → wrapper per propagare errori async agli handler Express</w:t>
      </w:r>
      <w:r>
        <w:br/>
      </w:r>
      <w:r>
        <w:rPr>
          <w:rStyle w:val="VerbatimChar"/>
        </w:rPr>
        <w:t xml:space="preserve">  seed.ts                → crea l'utente admin iniziale (una tantum)</w:t>
      </w:r>
      <w:r>
        <w:br/>
      </w:r>
      <w:r>
        <w:rPr>
          <w:rStyle w:val="VerbatimChar"/>
        </w:rPr>
        <w:t xml:space="preserve">  seedDemoData.ts        → popola dati di esempio (idempotente, additivo)</w:t>
      </w:r>
      <w:r>
        <w:br/>
      </w:r>
      <w:r>
        <w:rPr>
          <w:rStyle w:val="VerbatimChar"/>
        </w:rPr>
        <w:t xml:space="preserve">  routes/                →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→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→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→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→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→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→ test puri, nessun database</w:t>
      </w:r>
      <w:r>
        <w:br/>
      </w:r>
      <w:r>
        <w:rPr>
          <w:rStyle w:val="VerbatimChar"/>
        </w:rPr>
        <w:t xml:space="preserve">  integration/             → test contro un database Postgres dedicato e usa-e-getta</w:t>
      </w:r>
      <w:r>
        <w:br/>
      </w:r>
      <w:r>
        <w:rPr>
          <w:rStyle w:val="VerbatimChar"/>
        </w:rPr>
        <w:t xml:space="preserve">  setupEnv.ts, globalSetup.ts → bootstrap ambiente di test (vedi §4)</w:t>
      </w:r>
      <w:r>
        <w:br/>
      </w:r>
      <w:r>
        <w:br/>
      </w:r>
      <w:r>
        <w:rPr>
          <w:rStyle w:val="VerbatimChar"/>
        </w:rPr>
        <w:t xml:space="preserve">e2e/                     →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.github/workflows/deploy.yml → pipeline CI/CD</w:t>
      </w:r>
      <w:r>
        <w:br/>
      </w:r>
      <w:r>
        <w:rPr>
          <w:rStyle w:val="VerbatimChar"/>
        </w:rPr>
        <w:t xml:space="preserve">setup-deploy.ps1              → script di provisioning iniziale delle risorse Azure</w:t>
      </w:r>
    </w:p>
    <w:bookmarkEnd w:id="90"/>
    <w:bookmarkStart w:id="92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1">
        <w:r>
          <w:rPr>
            <w:rStyle w:val="Hyperlink"/>
          </w:rPr>
          <w:t xml:space="preserve">02-architettura.md 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— ogni</w:t>
      </w:r>
      <w:r>
        <w:t xml:space="preserve"> </w:t>
      </w:r>
      <w:r>
        <w:t xml:space="preserve">endpoint valida esattamente ciò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—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bookmarkEnd w:id="92"/>
    <w:bookmarkStart w:id="93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—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—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—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bookmarkEnd w:id="93"/>
    <w:bookmarkStart w:id="98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drawing>
          <wp:inline>
            <wp:extent cx="5334000" cy="1047473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:/Users/darior/AppData/Local/Temp/claude/c--Users-darior-OneDrive---Cegeka-BU-MS-Clode-Projects-WorkForceManager-WorkForce-Manager/950f544d-aafd-43a7-b4be-bb6a9d41a341/scratchpad/word-doc/diagrams/diagram-1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7">
        <w:r>
          <w:rPr>
            <w:rStyle w:val="Hyperlink"/>
          </w:rPr>
          <w:t xml:space="preserve">README §5</w:t>
        </w:r>
      </w:hyperlink>
      <w:r>
        <w:t xml:space="preserve">.</w:t>
      </w:r>
    </w:p>
    <w:bookmarkEnd w:id="98"/>
    <w:bookmarkStart w:id="99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rPr>
          <w:rStyle w:val="VerbatimChar"/>
        </w:rPr>
        <w:t xml:space="preserve">.github/workflows/deploy.yml</w:t>
      </w:r>
      <w:r>
        <w:t xml:space="preserve">, due job in sequenza: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99"/>
    <w:bookmarkStart w:id="100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è la fonte di verità →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→ si rivede il file generato →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— possono</w:t>
      </w:r>
      <w:r>
        <w:t xml:space="preserve"> </w:t>
      </w:r>
      <w:r>
        <w:t xml:space="preserve">essere rieseguiti senza duplicare né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distinguibilità per daltonismo) 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p>
      <w:r>
        <w:br w:type="page"/>
      </w:r>
    </w:p>
    <w:bookmarkEnd w:id="100"/>
    <w:bookmarkEnd w:id="101"/>
    <w:bookmarkStart w:id="113" w:name="documentazione-di-sicurezza"/>
    <w:p>
      <w:pPr>
        <w:pStyle w:val="Heading1"/>
      </w:pPr>
      <w:r>
        <w:t xml:space="preserve">Documentazione di sicurezza</w:t>
      </w:r>
    </w:p>
    <w:bookmarkStart w:id="102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—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né implementare una blacklist di token</w:t>
      </w:r>
      <w:r>
        <w:t xml:space="preserve"> </w:t>
      </w:r>
      <w:r>
        <w:t xml:space="preserve">revocati.</w:t>
      </w:r>
    </w:p>
    <w:bookmarkEnd w:id="102"/>
    <w:bookmarkStart w:id="107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→ accesso completo (valore di default per ogni utente nuovo o</w:t>
      </w:r>
      <w:r>
        <w:t xml:space="preserve"> </w:t>
      </w:r>
      <w:r>
        <w:t xml:space="preserve">esistente prima dell’introduzione del modello) — comportamento</w:t>
      </w:r>
      <w:r>
        <w:t xml:space="preserve"> </w:t>
      </w:r>
      <w:r>
        <w:t xml:space="preserve">“safe by default, restrizione opt-in”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→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— non esiste un secondo elenco da</w:t>
      </w:r>
      <w:r>
        <w:t xml:space="preserve"> </w:t>
      </w:r>
      <w:r>
        <w:t xml:space="preserve">tenere sincronizzato a mano.</w:t>
      </w:r>
    </w:p>
    <w:bookmarkStart w:id="103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può creare o modificare</w:t>
      </w:r>
      <w:r>
        <w:t xml:space="preserve"> </w:t>
      </w:r>
      <w:r>
        <w:t xml:space="preserve">una persona (scrittura gated).</w:t>
      </w:r>
    </w:p>
    <w:bookmarkEnd w:id="103"/>
    <w:bookmarkStart w:id="104" w:name="matrice-endpoint-permesso-richiesto"/>
    <w:p>
      <w:pPr>
        <w:pStyle w:val="Heading3"/>
      </w:pPr>
      <w:r>
        <w:t xml:space="preserve">Matrice endpoint →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</w:tbl>
    <w:bookmarkEnd w:id="104"/>
    <w:bookmarkStart w:id="105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→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(→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(→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— non sono aggirabili chiamando l’API direttamente.</w:t>
      </w:r>
    </w:p>
    <w:bookmarkEnd w:id="105"/>
    <w:bookmarkStart w:id="106" w:name="difesa-in-profondità-lato-client"/>
    <w:p>
      <w:pPr>
        <w:pStyle w:val="Heading3"/>
      </w:pPr>
      <w:r>
        <w:t xml:space="preserve">Difesa in profondità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→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06"/>
    <w:bookmarkEnd w:id="107"/>
    <w:bookmarkStart w:id="109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→ Registro attività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entità e intervallo di date. La tabella è denormalizzata (vedi</w:t>
      </w:r>
      <w:r>
        <w:t xml:space="preserve"> </w:t>
      </w:r>
      <w:hyperlink r:id="rId108">
        <w:r>
          <w:rPr>
            <w:rStyle w:val="Hyperlink"/>
          </w:rPr>
          <w:t xml:space="preserve">02-architettura.md 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dell’entità coinvolta.</w:t>
      </w:r>
    </w:p>
    <w:bookmarkEnd w:id="109"/>
    <w:bookmarkStart w:id="110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—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03-tecnica.md 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0"/>
    <w:bookmarkStart w:id="111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→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1"/>
    <w:bookmarkStart w:id="112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onestà per chi valuterà il sistema o pianificherà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7">
        <w:r>
          <w:rPr>
            <w:rStyle w:val="Hyperlink"/>
          </w:rPr>
          <w:t xml:space="preserve">01-funzionale.md 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—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Dipendenze con vulnerabilità note (basso rischio, solo devDependencies)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alcune vulnerabilità moderate/alte in pacchetti di</w:t>
      </w:r>
      <w:r>
        <w:t xml:space="preserve"> </w:t>
      </w:r>
      <w:r>
        <w:t xml:space="preserve">sviluppo (build/test tooling), non nel bundle di produzione servito agli</w:t>
      </w:r>
      <w:r>
        <w:t xml:space="preserve"> </w:t>
      </w:r>
      <w:r>
        <w:t xml:space="preserve">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— non c’è oggi un sistema centralizzato</w:t>
      </w:r>
      <w:r>
        <w:t xml:space="preserve"> </w:t>
      </w:r>
      <w:r>
        <w:t xml:space="preserve">di log/alerting (es. Application Insights) collegato all’App Service.</w:t>
      </w:r>
    </w:p>
    <w:p>
      <w:r>
        <w:br w:type="page"/>
      </w:r>
    </w:p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94" Target="media/rId9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hyperlink" Id="rId97" Target="../README.md" TargetMode="External" /><Relationship Type="http://schemas.openxmlformats.org/officeDocument/2006/relationships/hyperlink" Id="rId81" Target="../README.md#differenze-rispetto-alloriginale" TargetMode="External" /><Relationship Type="http://schemas.openxmlformats.org/officeDocument/2006/relationships/hyperlink" Id="rId57" Target="01-funzionale.md#2-due-concetti-di-persona-da-non-confondere" TargetMode="External" /><Relationship Type="http://schemas.openxmlformats.org/officeDocument/2006/relationships/hyperlink" Id="rId91" Target="02-architettura.md#3-catena-middleware-express" TargetMode="External" /><Relationship Type="http://schemas.openxmlformats.org/officeDocument/2006/relationships/hyperlink" Id="rId108" Target="02-architettura.md#4-modello-dati-diagramma-entit&#224;-relazione" TargetMode="External" /><Relationship Type="http://schemas.openxmlformats.org/officeDocument/2006/relationships/hyperlink" Id="rId47" Target="03-tecnica.md#5-testing" TargetMode="External" /><Relationship Type="http://schemas.openxmlformats.org/officeDocument/2006/relationships/hyperlink" Id="rId79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2" Target="04-sicurezza.md#matrice-endpoint--permesso-richies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../README.md" TargetMode="External" /><Relationship Type="http://schemas.openxmlformats.org/officeDocument/2006/relationships/hyperlink" Id="rId81" Target="../README.md#differenze-rispetto-alloriginale" TargetMode="External" /><Relationship Type="http://schemas.openxmlformats.org/officeDocument/2006/relationships/hyperlink" Id="rId57" Target="01-funzionale.md#2-due-concetti-di-persona-da-non-confondere" TargetMode="External" /><Relationship Type="http://schemas.openxmlformats.org/officeDocument/2006/relationships/hyperlink" Id="rId91" Target="02-architettura.md#3-catena-middleware-express" TargetMode="External" /><Relationship Type="http://schemas.openxmlformats.org/officeDocument/2006/relationships/hyperlink" Id="rId108" Target="02-architettura.md#4-modello-dati-diagramma-entit&#224;-relazione" TargetMode="External" /><Relationship Type="http://schemas.openxmlformats.org/officeDocument/2006/relationships/hyperlink" Id="rId47" Target="03-tecnica.md#5-testing" TargetMode="External" /><Relationship Type="http://schemas.openxmlformats.org/officeDocument/2006/relationships/hyperlink" Id="rId79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2" Target="04-sicurezza.md#matrice-endpoint--permesso-richies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 — Documentazione</dc:title>
  <dc:creator/>
  <cp:keywords/>
  <dcterms:created xsi:type="dcterms:W3CDTF">2026-07-29T08:08:39Z</dcterms:created>
  <dcterms:modified xsi:type="dcterms:W3CDTF">2026-07-29T08:08:39Z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2026-07-29</vt:lpwstr>
  </property>
  <property fmtid="{D5CDD505-2E9C-101B-9397-08002B2CF9AE}" pid="3" name="subtitle">
    <vt:lpwstr>Documentazione funzionale, architetturale, tecnica e di sicurezza</vt:lpwstr>
  </property>
</Properties>
</file>