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2026-09-11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Ã¨ un’applicazione web per la pianificazione e il controllo</w:t>
      </w:r>
      <w:r>
        <w:t xml:space="preserve"> </w:t>
      </w:r>
      <w:r>
        <w:t xml:space="preserve">della capacitÃ  di un team di consulenza/delivery: chi lavora su quali</w:t>
      </w:r>
      <w:r>
        <w:t xml:space="preserve"> </w:t>
      </w:r>
      <w:r>
        <w:t xml:space="preserve">progetti, con quale percentuale di impegno, chi Ã¨ sotto o sovra-allocato, chi</w:t>
      </w:r>
      <w:r>
        <w:t xml:space="preserve"> </w:t>
      </w:r>
      <w:r>
        <w:t xml:space="preserve">Ã¨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storicitÃ </w:t>
      </w:r>
      <w:r>
        <w:t xml:space="preserve"> </w:t>
      </w:r>
      <w:r>
        <w:t xml:space="preserve">(registro attivitÃ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entitÃ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capacitÃ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 â€”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Ã¨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 (con opzione di configurazione e</w:t>
      </w:r>
      <w:r>
        <w:t xml:space="preserve"> </w:t>
      </w:r>
      <w:r>
        <w:t xml:space="preserve">filtro rapido per includere o escludere i consulenti/contractor dal calcolo</w:t>
      </w:r>
      <w:r>
        <w:t xml:space="preserve"> </w:t>
      </w:r>
      <w:r>
        <w:t xml:space="preserve">della produttivitÃ  e allocazione mensile di team), capacitÃ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</w:t>
      </w:r>
      <w:r>
        <w:t xml:space="preserve"> </w:t>
      </w:r>
      <w:r>
        <w:t xml:space="preserve">“Allocazione per</w:t>
      </w:r>
      <w:r>
        <w:t xml:space="preserve"> </w:t>
      </w:r>
      <w:r>
        <w:t xml:space="preserve">persona”</w:t>
      </w:r>
      <w:r>
        <w:t xml:space="preserve"> </w:t>
      </w:r>
      <w:r>
        <w:t xml:space="preserve">usa una visualizzazione executive-board a barre orizzontali: ogni</w:t>
      </w:r>
      <w:r>
        <w:t xml:space="preserve"> </w:t>
      </w:r>
      <w:r>
        <w:t xml:space="preserve">risorsa Ã¨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d’occhio e adatta a un uso manageriale rapido, dove</w:t>
      </w:r>
      <w:r>
        <w:t xml:space="preserve"> </w:t>
      </w:r>
      <w:r>
        <w:t xml:space="preserve">l’obiettivo Ã¨ individuare subito i casi critici senza perdere il dettaglio.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capacitÃ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capacitÃ  variabile (override temporanei della capacitÃ  base, es.</w:t>
      </w:r>
      <w:r>
        <w:t xml:space="preserve"> </w:t>
      </w:r>
      <w:r>
        <w:t xml:space="preserve">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â€”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personaâ†”progettoâ†”percentualeâ†”periodo.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Ã— periodo (settimana/mese/anno), con due modalitÃ :</w:t>
      </w:r>
      <w:r>
        <w:t xml:space="preserve"> </w:t>
      </w:r>
      <w:r>
        <w:t xml:space="preserve">- ciascuna persona mostra il badge/etichetta con il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 e tooltip descrittivo (</w:t>
      </w:r>
      <w:r>
        <w:rPr>
          <w:rStyle w:val="VerbatimChar"/>
        </w:rPr>
        <w:t xml:space="preserve">Nome (Tipo) - Ruolo</w:t>
      </w:r>
      <w:r>
        <w:t xml:space="preserve">);</w:t>
      </w:r>
      <w:r>
        <w:t xml:space="preserve"> </w:t>
      </w:r>
      <w:r>
        <w:t xml:space="preserve">- un filtro persone ricercabile e multiselezione permette di cercare e</w:t>
      </w:r>
      <w:r>
        <w:t xml:space="preserve"> </w:t>
      </w:r>
      <w:r>
        <w:t xml:space="preserve">mostrare solo una o piÃ¹ risorse specifiche (filtrabili per nome, ruolo o tipo</w:t>
      </w:r>
      <w:r>
        <w:t xml:space="preserve"> </w:t>
      </w:r>
      <w:r>
        <w:t xml:space="preserve">risorsa), senza modificare o selezionare le righe;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70â€“100%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un’unitÃ  â€” giorno/settimana/mese/anno â€”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piÃ¹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</w:t>
      </w:r>
      <w:r>
        <w:t xml:space="preserve"> </w:t>
      </w:r>
      <w:r>
        <w:t xml:space="preserve">Nelle righe espanse di assegnazione e nel modale di censimento rapido, la</w:t>
      </w:r>
      <w:r>
        <w:t xml:space="preserve"> </w:t>
      </w:r>
      <w:r>
        <w:t xml:space="preserve">selezione del progetto riporta esplicitamente sia il nome del progetto sia</w:t>
      </w:r>
      <w:r>
        <w:t xml:space="preserve"> </w:t>
      </w:r>
      <w:r>
        <w:t xml:space="preserve">il codice commessa associato (</w:t>
      </w:r>
      <w:r>
        <w:rPr>
          <w:rStyle w:val="VerbatimChar"/>
        </w:rPr>
        <w:t xml:space="preserve">commessaId</w:t>
      </w:r>
      <w:r>
        <w:t xml:space="preserve">), presente anche nel tooltip di dettaglio;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festivitÃ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 Un’assenza puÃ² essere a giornate intere oppure espressa in</w:t>
      </w:r>
      <w:r>
        <w:t xml:space="preserve"> </w:t>
      </w:r>
      <w:r>
        <w:t xml:space="preserve">ore su una singola giornata; un’assenza approvata viene riportata nel</w:t>
      </w:r>
      <w:r>
        <w:t xml:space="preserve"> </w:t>
      </w:r>
      <w:r>
        <w:t xml:space="preserve">Calendario e blocca il censimento staffing della giornata.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 e produttivitÃ </w:t>
      </w:r>
      <w:r>
        <w:t xml:space="preserve">: percentuali di sotto/sovra-allocazione usate per</w:t>
      </w:r>
      <w:r>
        <w:t xml:space="preserve"> </w:t>
      </w:r>
      <w:r>
        <w:t xml:space="preserve">colorare Dashboard, Persone e Calendario, oltre all’opzione di default per</w:t>
      </w:r>
      <w:r>
        <w:t xml:space="preserve"> </w:t>
      </w:r>
      <w:r>
        <w:t xml:space="preserve">includere o escludere i contractor/consulenti dai KPI di produttivitÃ 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FestivitÃ </w:t>
      </w:r>
      <w:r>
        <w:t xml:space="preserve">: festivitÃ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puÃ²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attivitÃ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entitÃ  e intervallo di date.</w:t>
      </w:r>
    </w:p>
    <w:bookmarkEnd w:id="21"/>
    <w:bookmarkEnd w:id="22"/>
    <w:bookmarkStart w:id="37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PiÃ¹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puÃ² essere staffata al 60% su un progetto e al</w:t>
      </w:r>
      <w:r>
        <w:t xml:space="preserve"> </w:t>
      </w:r>
      <w:r>
        <w:t xml:space="preserve">40% su un altro nella stessa settimana â†’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all’utente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Ã¨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Il server rifiuta</w:t>
      </w:r>
      <w:r>
        <w:t xml:space="preserve"> </w:t>
      </w:r>
      <w:r>
        <w:t xml:space="preserve">inoltre qualsiasi inserimento, modifica, split o overwrite che tocchi una</w:t>
      </w:r>
      <w:r>
        <w:t xml:space="preserve"> </w:t>
      </w:r>
      <w:r>
        <w:t xml:space="preserve">festivitÃ  configurata o un’assenza approvata, anche via API.</w:t>
      </w:r>
    </w:p>
    <w:p>
      <w:pPr>
        <w:pStyle w:val="BodyText"/>
      </w:pPr>
      <w:r>
        <w:t xml:space="preserve">Due operazioni meritano attenzione perchÃ© contengono la logica di dominio</w:t>
      </w:r>
      <w:r>
        <w:t xml:space="preserve"> </w:t>
      </w:r>
      <w:r>
        <w:t xml:space="preserve">piÃ¹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â€”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74846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agrams/01-funzionale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484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â€”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unitÃ  (giorno/settimana/mese/anno) all’interno di un’assegnazione piÃ¹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dell’unitÃ  modificata (percentuale invariata), l’unitÃ  stessa (nuova</w:t>
      </w:r>
      <w:r>
        <w:t xml:space="preserve"> </w:t>
      </w:r>
      <w:r>
        <w:t xml:space="preserve">percentuale) e la parte dopo (percentuale invariata) â€”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capacitÃ </w:t>
      </w:r>
      <w:r>
        <w:t xml:space="preserve"> </w:t>
      </w:r>
      <w:r>
        <w:t xml:space="preserve">di una persona (ore/settimana usate per calcolare se Ã¨</w:t>
      </w:r>
      <w:r>
        <w:t xml:space="preserve"> </w:t>
      </w:r>
      <w:r>
        <w:t xml:space="preserve">sotto/sovra-allocata) Ã¨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puÃ²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â€”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513800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iagrams/01-funzionale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38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puÃ² approvare/rifiutare non Ã¨ vincolato via codice a una gerarchia</w:t>
      </w:r>
      <w:r>
        <w:t xml:space="preserve"> </w:t>
      </w:r>
      <w:r>
        <w:t xml:space="preserve">specifica (qualunque utente con accesso alla sezione Ferie/Assenze puÃ²</w:t>
      </w:r>
      <w:r>
        <w:t xml:space="preserve"> </w:t>
      </w:r>
      <w:r>
        <w:t xml:space="preserve">farlo) â€”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Ã¨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piÃ¹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nÃ©, quando la richiesta Ã¨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â€” l’approvazione Ã¨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163420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s/01-funzionale-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34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puÃ² togliersi da solo l’accesso a Impostazioni â†’ Utenti), Ã¨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Ã¨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â€” l’importazione non fallisce</w:t>
      </w:r>
      <w:r>
        <w:t xml:space="preserve"> </w:t>
      </w:r>
      <w:r>
        <w:t xml:space="preserve">nel suo complesso â€” e la risposta riporta quante righe sono state importate e</w:t>
      </w:r>
      <w:r>
        <w:t xml:space="preserve"> </w:t>
      </w:r>
      <w:r>
        <w:t xml:space="preserve">quante saltate, cosÃ¬ l’utente puÃ²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capacitÃ  non valida) mostrato</w:t>
      </w:r>
      <w:r>
        <w:t xml:space="preserve"> </w:t>
      </w:r>
      <w:r>
        <w:t xml:space="preserve">nel popup lato UI.</w:t>
      </w:r>
    </w:p>
    <w:bookmarkEnd w:id="35"/>
    <w:bookmarkStart w:id="36" w:name="reset-amministrativo-dei-dati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Un’azione riservata all’amministratore Ã¨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l’utente corrente Ã¨ l’admin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cioÃ¨ accesso</w:t>
      </w:r>
      <w:r>
        <w:t xml:space="preserve"> </w:t>
      </w:r>
      <w:r>
        <w:t xml:space="preserve">illimitato). L’azione richiede conferma prima di eseguire il reset e cancella</w:t>
      </w:r>
      <w:r>
        <w:t xml:space="preserve"> </w:t>
      </w:r>
      <w:r>
        <w:t xml:space="preserve">le entitÃ  applicative principali â€” persone, progetti, assegnazioni, assenze,</w:t>
      </w:r>
      <w:r>
        <w:t xml:space="preserve"> </w:t>
      </w:r>
      <w:r>
        <w:t xml:space="preserve">festivitÃ , soglie e log attivitÃ  â€” lasciando intatti gli account admin. Il</w:t>
      </w:r>
      <w:r>
        <w:t xml:space="preserve"> </w:t>
      </w:r>
      <w:r>
        <w:t xml:space="preserve">reset Ã¨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36"/>
    <w:bookmarkEnd w:id="37"/>
    <w:bookmarkStart w:id="38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Ã¨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â†’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festivitÃ  aziendali</w:t>
            </w:r>
          </w:p>
        </w:tc>
        <w:tc>
          <w:tcPr/>
          <w:p>
            <w:pPr>
              <w:pStyle w:val="Compact"/>
            </w:pPr>
            <w:r>
              <w:t xml:space="preserve">Impostazioni â†’ Soglie / FestivitÃ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â†’ Registro attivitÃ </w:t>
            </w:r>
          </w:p>
        </w:tc>
      </w:tr>
    </w:tbl>
    <w:bookmarkEnd w:id="38"/>
    <w:bookmarkStart w:id="39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ModalitÃ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unitÃ  di misura della capacitÃ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piÃ¹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39"/>
    <w:bookmarkEnd w:id="40"/>
    <w:bookmarkStart w:id="84" w:name="documentazione-architetturale"/>
    <w:p>
      <w:pPr>
        <w:pStyle w:val="Heading1"/>
      </w:pPr>
      <w:r>
        <w:t xml:space="preserve">Documentazione architetturale</w:t>
      </w:r>
    </w:p>
    <w:bookmarkStart w:id="44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Ã¨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4607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2-architettura-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6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â€” un solo servizio da</w:t>
      </w:r>
      <w:r>
        <w:t xml:space="preserve"> </w:t>
      </w:r>
      <w:r>
        <w:t xml:space="preserve">distribuire, nessun reverse proxy dedicato al frontend.</w:t>
      </w:r>
    </w:p>
    <w:bookmarkEnd w:id="44"/>
    <w:bookmarkStart w:id="49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337909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2-architettura-0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9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responsabilitÃ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quasi sempre da Drizzle. Le due</w:t>
      </w:r>
      <w:r>
        <w:t xml:space="preserve"> </w:t>
      </w:r>
      <w:r>
        <w:t xml:space="preserve">sole eccezioni con SQL grezzo (</w:t>
      </w:r>
      <w:r>
        <w:rPr>
          <w:rStyle w:val="VerbatimChar"/>
        </w:rPr>
        <w:t xml:space="preserve">pool.query</w:t>
      </w:r>
      <w:r>
        <w:t xml:space="preserve">) sono entrambe un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:</w:t>
      </w:r>
      <w:r>
        <w:t xml:space="preserve"> </w:t>
      </w:r>
      <w:r>
        <w:t xml:space="preserve">quello usato nell’harness dei test (</w:t>
      </w:r>
      <w:r>
        <w:rPr>
          <w:rStyle w:val="VerbatimChar"/>
        </w:rPr>
        <w:t xml:space="preserve">tests/integration/helpers.ts</w:t>
      </w:r>
      <w:r>
        <w:t xml:space="preserve">, vedi</w:t>
      </w:r>
      <w:r>
        <w:t xml:space="preserve"> </w:t>
      </w:r>
      <w:hyperlink r:id="rId48">
        <w:r>
          <w:rPr>
            <w:rStyle w:val="Hyperlink"/>
          </w:rPr>
          <w:t xml:space="preserve">03-tecnica.md</w:t>
        </w:r>
      </w:hyperlink>
      <w:r>
        <w:t xml:space="preserve">) e quello dietro l’endpoint</w:t>
      </w:r>
      <w:r>
        <w:t xml:space="preserve"> </w:t>
      </w:r>
      <w:r>
        <w:t xml:space="preserve">amministrativo</w:t>
      </w:r>
      <w:r>
        <w:t xml:space="preserve"> </w:t>
      </w:r>
      <w:r>
        <w:rPr>
          <w:rStyle w:val="VerbatimChar"/>
        </w:rPr>
        <w:t xml:space="preserve">POST /api/admin/reset-data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server/routes/admin.ts</w:t>
      </w:r>
      <w:r>
        <w:t xml:space="preserve">) â€” quest’ultimo Ã¨ codice applicativo di</w:t>
      </w:r>
      <w:r>
        <w:t xml:space="preserve"> </w:t>
      </w:r>
      <w:r>
        <w:t xml:space="preserve">produzione, non solo di test, e tronca tutte le tabelle dati in un unico</w:t>
      </w:r>
      <w:r>
        <w:t xml:space="preserve"> </w:t>
      </w:r>
      <w:r>
        <w:t xml:space="preserve">statement (necessario per evitare deadlock da lock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su tabelle in</w:t>
      </w:r>
      <w:r>
        <w:t xml:space="preserve"> </w:t>
      </w:r>
      <w:r>
        <w:t xml:space="preserve">comune se eseguito come query separate in parallelo).</w:t>
      </w:r>
    </w:p>
    <w:bookmarkEnd w:id="49"/>
    <w:bookmarkStart w:id="54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414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02-architettura-0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Ã¨ in</w:t>
      </w:r>
      <w:r>
        <w:t xml:space="preserve"> </w:t>
      </w:r>
      <w:hyperlink r:id="rId5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4"/>
    <w:bookmarkStart w:id="59" w:name="modello-dati-diagramma-entitã--relazione"/>
    <w:p>
      <w:pPr>
        <w:pStyle w:val="Heading2"/>
      </w:pPr>
      <w:r>
        <w:t xml:space="preserve">4. Modello dati (diagramma entitÃ -relazione)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66291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02-architettura-0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2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Ã¨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cosÃ¬ il log resta</w:t>
      </w:r>
      <w:r>
        <w:t xml:space="preserve"> </w:t>
      </w:r>
      <w:r>
        <w:t xml:space="preserve">leggibile e integro anche se l’utente che ha compiuto l’azione o l’entitÃ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Ã¨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utenteâ†”permesso):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compatibilitÃ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capacitÃ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â€”</w:t>
      </w:r>
      <w:r>
        <w:t xml:space="preserve"> </w:t>
      </w:r>
      <w:r>
        <w:t xml:space="preserve">non si perdono righe collegate solo perchÃ©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Ã¨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59"/>
    <w:bookmarkStart w:id="63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entitÃ , con i metodi/le regole di</w:t>
      </w:r>
      <w:r>
        <w:t xml:space="preserve"> </w:t>
      </w:r>
      <w:r>
        <w:t xml:space="preserve">dominio piÃ¹ rilevanti (non necessariamente implementati come metodi di</w:t>
      </w:r>
      <w:r>
        <w:t xml:space="preserve"> </w:t>
      </w:r>
      <w:r>
        <w:t xml:space="preserve">classe nel codice â€” qui la logica Ã¨ funzionale, dentro ai router â€” ma</w:t>
      </w:r>
      <w:r>
        <w:t xml:space="preserve"> </w:t>
      </w:r>
      <w:r>
        <w:t xml:space="preserve">concettualmente di competenza di ciascuna entitÃ 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498973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2-architettura-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8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â€” omesso dal diagramma per leggibilitÃ , dettagliato nell’</w:t>
      </w:r>
      <w:hyperlink w:anchor="X2cd938c547d586d6c0d3646d6fe0ede71e2c4ce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3"/>
    <w:bookmarkStart w:id="76" w:name="diagrammi-di-sequenza"/>
    <w:p>
      <w:pPr>
        <w:pStyle w:val="Heading2"/>
      </w:pPr>
      <w:r>
        <w:t xml:space="preserve">6. Diagrammi di sequenza</w:t>
      </w:r>
    </w:p>
    <w:bookmarkStart w:id="67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448559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2-architettura-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5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Ã¨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7"/>
    <w:bookmarkStart w:id="71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57243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iagrams/02-architettura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7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40438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agrams/02-architettura-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0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81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787076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agrams/02-architettura-1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87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p>
      <w:pPr>
        <w:pStyle w:val="BodyText"/>
      </w:pPr>
      <w:r>
        <w:t xml:space="preserve">Il diagramma sopra mostra solo la pipeline di deploy (</w:t>
      </w:r>
      <w:r>
        <w:rPr>
          <w:rStyle w:val="VerbatimChar"/>
        </w:rPr>
        <w:t xml:space="preserve">deploy.yml</w:t>
      </w:r>
      <w:r>
        <w:t xml:space="preserve">). Un</w:t>
      </w:r>
      <w:r>
        <w:t xml:space="preserve"> </w:t>
      </w:r>
      <w:r>
        <w:t xml:space="preserve">secondo workflow indipendente,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, esegue l’analisi SonarQube</w:t>
      </w:r>
      <w:r>
        <w:t xml:space="preserve"> </w:t>
      </w:r>
      <w:r>
        <w:t xml:space="preserve">(anch’esso con un Postgres effimero, per far girare i test di integrazione</w:t>
      </w:r>
      <w:r>
        <w:t xml:space="preserve"> </w:t>
      </w:r>
      <w:r>
        <w:t xml:space="preserve">e produrre la coverage) ma non fa parte della catena che porta al deploy:</w:t>
      </w:r>
      <w:r>
        <w:t xml:space="preserve"> </w:t>
      </w:r>
      <w:r>
        <w:t xml:space="preserve">non blocca nÃ© viene bloccato da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. 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bookmarkEnd w:id="81"/>
    <w:bookmarkStart w:id="83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piÃ¹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piÃ¹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Ã¨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Ã¨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funzionalitÃ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2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83"/>
    <w:bookmarkEnd w:id="84"/>
    <w:bookmarkStart w:id="104" w:name="documentazione-tecnica"/>
    <w:p>
      <w:pPr>
        <w:pStyle w:val="Heading1"/>
      </w:pPr>
      <w:r>
        <w:t xml:space="preserve">Documentazione tecnica</w:t>
      </w:r>
    </w:p>
    <w:bookmarkStart w:id="90" w:name="stack-tecnologico"/>
    <w:p>
      <w:pPr>
        <w:pStyle w:val="Heading2"/>
      </w:pPr>
      <w:r>
        <w:t xml:space="preserve">1. Stack tecnologico</w:t>
      </w:r>
    </w:p>
    <w:bookmarkStart w:id="8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5"/>
    <w:bookmarkStart w:id="8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0.22.8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6"/>
    <w:bookmarkStart w:id="87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7"/>
    <w:bookmarkStart w:id="88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@vitest/coverage-v8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Coverage (provider v8), report</w:t>
            </w:r>
            <w:r>
              <w:t xml:space="preserve"> </w:t>
            </w:r>
            <w:r>
              <w:rPr>
                <w:rStyle w:val="VerbatimChar"/>
              </w:rPr>
              <w:t xml:space="preserve">lcov</w:t>
            </w:r>
            <w:r>
              <w:t xml:space="preserve"> </w:t>
            </w:r>
            <w:r>
              <w:t xml:space="preserve">consumato da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8"/>
    <w:bookmarkStart w:id="89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â€” due workflow indipendenti: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) e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 </w:t>
      </w:r>
      <w:r>
        <w:t xml:space="preserve">(analisi SonarQube, non collegato al</w:t>
      </w:r>
      <w:r>
        <w:t xml:space="preserve"> </w:t>
      </w:r>
      <w:r>
        <w:t xml:space="preserve">deploy)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â€” analisi statica + coverage, eseguita manualmente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workflow_dispatch</w:t>
      </w:r>
      <w:r>
        <w:t xml:space="preserve">) o ogni notte (schedule); quality gate configurato sul</w:t>
      </w:r>
      <w:r>
        <w:t xml:space="preserve"> </w:t>
      </w:r>
      <w:r>
        <w:t xml:space="preserve">progetto lato SonarQube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â€”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â€” database di produzione</w:t>
      </w:r>
    </w:p>
    <w:bookmarkEnd w:id="89"/>
    <w:bookmarkEnd w:id="90"/>
    <w:bookmarkStart w:id="91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â†’ app Express configurata (middleware + router), SENZA .listen()</w:t>
      </w:r>
      <w:r>
        <w:br/>
      </w:r>
      <w:r>
        <w:rPr>
          <w:rStyle w:val="VerbatimChar"/>
        </w:rPr>
        <w:t xml:space="preserve">  index.ts             â†’ entry point: dotenv, app.listen()</w:t>
      </w:r>
      <w:r>
        <w:br/>
      </w:r>
      <w:r>
        <w:rPr>
          <w:rStyle w:val="VerbatimChar"/>
        </w:rPr>
        <w:t xml:space="preserve">  db.ts                â†’ connessione PostgreSQL (Pool + istanza Drizzle)</w:t>
      </w:r>
      <w:r>
        <w:br/>
      </w:r>
      <w:r>
        <w:rPr>
          <w:rStyle w:val="VerbatimChar"/>
        </w:rPr>
        <w:t xml:space="preserve">  schema.ts             â†’ schema Drizzle: tabelle, enum, tipi inferiti</w:t>
      </w:r>
      <w:r>
        <w:br/>
      </w:r>
      <w:r>
        <w:rPr>
          <w:rStyle w:val="VerbatimChar"/>
        </w:rPr>
        <w:t xml:space="preserve">  auth.ts               â†’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â†’ helper per scrivere nel registro attivitÃ </w:t>
      </w:r>
      <w:r>
        <w:br/>
      </w:r>
      <w:r>
        <w:rPr>
          <w:rStyle w:val="VerbatimChar"/>
        </w:rPr>
        <w:t xml:space="preserve">  commessaId.ts         â†’ generazione slug identificativo commessa</w:t>
      </w:r>
      <w:r>
        <w:br/>
      </w:r>
      <w:r>
        <w:rPr>
          <w:rStyle w:val="VerbatimChar"/>
        </w:rPr>
        <w:t xml:space="preserve">  asyncHandler.ts        â†’ wrapper per propagare errori async agli handler Express</w:t>
      </w:r>
      <w:r>
        <w:br/>
      </w:r>
      <w:r>
        <w:rPr>
          <w:rStyle w:val="VerbatimChar"/>
        </w:rPr>
        <w:t xml:space="preserve">  seed.ts                â†’ crea l'utente admin iniziale (una tantum)</w:t>
      </w:r>
      <w:r>
        <w:br/>
      </w:r>
      <w:r>
        <w:rPr>
          <w:rStyle w:val="VerbatimChar"/>
        </w:rPr>
        <w:t xml:space="preserve">  seedDemoData.ts        â†’ popola dati di esempio (idempotente, additivo)</w:t>
      </w:r>
      <w:r>
        <w:br/>
      </w:r>
      <w:r>
        <w:rPr>
          <w:rStyle w:val="VerbatimChar"/>
        </w:rPr>
        <w:t xml:space="preserve">  routes/                â†’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â†’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â†’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â†’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â†’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â†’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â†’ test puri, nessun database</w:t>
      </w:r>
      <w:r>
        <w:br/>
      </w:r>
      <w:r>
        <w:rPr>
          <w:rStyle w:val="VerbatimChar"/>
        </w:rPr>
        <w:t xml:space="preserve">  integration/             â†’ test contro un database Postgres dedicato e usa-e-getta</w:t>
      </w:r>
      <w:r>
        <w:br/>
      </w:r>
      <w:r>
        <w:rPr>
          <w:rStyle w:val="VerbatimChar"/>
        </w:rPr>
        <w:t xml:space="preserve">  setupEnv.ts, globalSetup.ts â†’ bootstrap ambiente di test (vedi Â§4)</w:t>
      </w:r>
      <w:r>
        <w:br/>
      </w:r>
      <w:r>
        <w:br/>
      </w:r>
      <w:r>
        <w:rPr>
          <w:rStyle w:val="VerbatimChar"/>
        </w:rPr>
        <w:t xml:space="preserve">e2e/                     â†’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deploy.yml              â†’ pipeline CI/CD (test â†’ build-and-deploy su Azure)</w:t>
      </w:r>
      <w:r>
        <w:br/>
      </w:r>
      <w:r>
        <w:rPr>
          <w:rStyle w:val="VerbatimChar"/>
        </w:rPr>
        <w:t xml:space="preserve">  sonar.yml                â†’ analisi SonarQube (npm run test:coverage + scan)</w:t>
      </w:r>
      <w:r>
        <w:br/>
      </w:r>
      <w:r>
        <w:rPr>
          <w:rStyle w:val="VerbatimChar"/>
        </w:rPr>
        <w:t xml:space="preserve">sonar-project.properties â†’ configurazione progetto SonarQube (sources, esclusioni, report coverage)</w:t>
      </w:r>
      <w:r>
        <w:br/>
      </w:r>
      <w:r>
        <w:rPr>
          <w:rStyle w:val="VerbatimChar"/>
        </w:rPr>
        <w:t xml:space="preserve">setup-deploy.ps1              â†’ script di provisioning iniziale delle risorse Azure</w:t>
      </w:r>
    </w:p>
    <w:bookmarkEnd w:id="91"/>
    <w:bookmarkStart w:id="93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2">
        <w:r>
          <w:rPr>
            <w:rStyle w:val="Hyperlink"/>
          </w:rPr>
          <w:t xml:space="preserve">02-architettura.md Â§3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â€” ogni</w:t>
      </w:r>
      <w:r>
        <w:t xml:space="preserve"> </w:t>
      </w:r>
      <w:r>
        <w:t xml:space="preserve">endpoint valida esattamente ciÃ²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â€”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Ã¨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93"/>
    <w:bookmarkStart w:id="94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â€”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â€”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/people/bulk-delete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â€”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all’admin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cosÃ¬ il frontend puÃ² mostrare il motivo puntuale nel</w:t>
      </w:r>
      <w:r>
        <w:t xml:space="preserve"> </w:t>
      </w:r>
      <w:r>
        <w:t xml:space="preserve">popup di import.</w:t>
      </w:r>
      <w:r>
        <w:t xml:space="preserve"> </w:t>
      </w:r>
      <w:r>
        <w:t xml:space="preserve">- Le mutazioni delle assegnazioni rifiutano intervalli che intersecano una</w:t>
      </w:r>
      <w:r>
        <w:t xml:space="preserve"> </w:t>
      </w:r>
      <w:r>
        <w:t xml:space="preserve">festivitÃ  o un’assenza approvata (</w:t>
      </w:r>
      <w:r>
        <w:rPr>
          <w:rStyle w:val="VerbatimChar"/>
        </w:rPr>
        <w:t xml:space="preserve">409</w:t>
      </w:r>
      <w:r>
        <w:t xml:space="preserve">).</w:t>
      </w:r>
      <w:r>
        <w:t xml:space="preserve"> </w:t>
      </w:r>
      <w:r>
        <w:t xml:space="preserve">- Le assenze supportano il campo opzionale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 valido solo quando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coincidono.</w:t>
      </w:r>
    </w:p>
    <w:bookmarkEnd w:id="94"/>
    <w:bookmarkStart w:id="99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9163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diagrams/03-tecnica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9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capacitÃ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Ã¨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</w:t>
      </w:r>
      <w:r>
        <w:rPr>
          <w:rStyle w:val="CommentTok"/>
        </w:rPr>
        <w:t xml:space="preserve"># come sopra, con report coverage lcov in coverage/ (usato da Sonar)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8">
        <w:r>
          <w:rPr>
            <w:rStyle w:val="Hyperlink"/>
          </w:rPr>
          <w:t xml:space="preserve">README Â§5</w:t>
        </w:r>
      </w:hyperlink>
      <w:r>
        <w:t xml:space="preserve">.</w:t>
      </w:r>
    </w:p>
    <w:bookmarkEnd w:id="99"/>
    <w:bookmarkStart w:id="102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Due workflow GitHub Actions indipendenti, nessuno dei due dipende</w:t>
      </w:r>
      <w:r>
        <w:t xml:space="preserve"> </w:t>
      </w:r>
      <w:r>
        <w:t xml:space="preserve">dall’altro.</w:t>
      </w:r>
    </w:p>
    <w:bookmarkStart w:id="100" w:name="deploy.yml-â-due-job-in-sequenza"/>
    <w:p>
      <w:pPr>
        <w:pStyle w:val="Heading3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â€” due job in sequenza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00"/>
    <w:bookmarkStart w:id="101" w:name="sonar.yml-â-analisi-sonarqube"/>
    <w:p>
      <w:pPr>
        <w:pStyle w:val="Heading3"/>
      </w:pPr>
      <w:r>
        <w:rPr>
          <w:rStyle w:val="VerbatimChar"/>
        </w:rPr>
        <w:t xml:space="preserve">sonar.yml</w:t>
      </w:r>
      <w:r>
        <w:t xml:space="preserve"> </w:t>
      </w:r>
      <w:r>
        <w:t xml:space="preserve">â€” analisi SonarQube</w:t>
      </w:r>
    </w:p>
    <w:p>
      <w:pPr>
        <w:pStyle w:val="FirstParagraph"/>
      </w:pPr>
      <w:r>
        <w:t xml:space="preserve">Un solo job</w:t>
      </w:r>
      <w:r>
        <w:t xml:space="preserve"> </w:t>
      </w:r>
      <w:r>
        <w:rPr>
          <w:rStyle w:val="VerbatimChar"/>
        </w:rPr>
        <w:t xml:space="preserve">sonar</w:t>
      </w:r>
      <w:r>
        <w:t xml:space="preserve">, eseguito manualmente (</w:t>
      </w:r>
      <w:r>
        <w:rPr>
          <w:rStyle w:val="VerbatimChar"/>
        </w:rPr>
        <w:t xml:space="preserve">workflow_dispatch</w:t>
      </w:r>
      <w:r>
        <w:t xml:space="preserve">) o ogni notte</w:t>
      </w:r>
      <w:r>
        <w:t xml:space="preserve"> </w:t>
      </w:r>
      <w:r>
        <w:t xml:space="preserve">alle 3 UTC (</w:t>
      </w:r>
      <w:r>
        <w:rPr>
          <w:rStyle w:val="VerbatimChar"/>
        </w:rPr>
        <w:t xml:space="preserve">schedule</w:t>
      </w:r>
      <w:r>
        <w:t xml:space="preserve">),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su ogni push. Passi: container di servizio</w:t>
      </w:r>
      <w:r>
        <w:t xml:space="preserve"> </w:t>
      </w:r>
      <w:r>
        <w:t xml:space="preserve">PostgreSQL effimero (stesso schema del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(unit + integration test con report di</w:t>
      </w:r>
      <w:r>
        <w:t xml:space="preserve"> </w:t>
      </w:r>
      <w:r>
        <w:t xml:space="preserve">coverage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), poi</w:t>
      </w:r>
      <w:r>
        <w:t xml:space="preserve"> </w:t>
      </w:r>
      <w:r>
        <w:rPr>
          <w:rStyle w:val="VerbatimChar"/>
        </w:rPr>
        <w:t xml:space="preserve">SonarSource/sonarqube-scan-action@v4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SONAR_TOKEN</w:t>
      </w:r>
      <w:r>
        <w:t xml:space="preserve">/</w:t>
      </w:r>
      <w:r>
        <w:rPr>
          <w:rStyle w:val="VerbatimChar"/>
        </w:rPr>
        <w:t xml:space="preserve">SONAR_HOST_URL</w:t>
      </w:r>
      <w:r>
        <w:t xml:space="preserve"> </w:t>
      </w:r>
      <w:r>
        <w:t xml:space="preserve">da secret del repository). La</w:t>
      </w:r>
      <w:r>
        <w:t xml:space="preserve"> </w:t>
      </w:r>
      <w:r>
        <w:t xml:space="preserve">configurazione dell’analisi Ã¨ in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copre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 </w:t>
      </w:r>
      <w:r>
        <w:t xml:space="preserve">Ã¨ escluso dal solo</w:t>
      </w:r>
      <w:r>
        <w:t xml:space="preserve"> </w:t>
      </w:r>
      <w:r>
        <w:rPr>
          <w:b/>
          <w:bCs/>
        </w:rPr>
        <w:t xml:space="preserve">calcolo della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sonar.coverage.exclusions</w:t>
      </w:r>
      <w:r>
        <w:t xml:space="preserve">, non</w:t>
      </w:r>
      <w:r>
        <w:t xml:space="preserve"> </w:t>
      </w:r>
      <w:r>
        <w:t xml:space="preserve">dall’analisi) perchÃ© non ha test unitari â€” solo test e2e Playwright, che</w:t>
      </w:r>
      <w:r>
        <w:t xml:space="preserve"> </w:t>
      </w:r>
      <w:r>
        <w:t xml:space="preserve">non producono un report di coverage consumabile da Sonar.</w:t>
      </w:r>
    </w:p>
    <w:p>
      <w:pPr>
        <w:pStyle w:val="BodyText"/>
      </w:pPr>
      <w:r>
        <w:t xml:space="preserve">Questo job non fa parte della catena di deploy: un fallimento della scan</w:t>
      </w:r>
      <w:r>
        <w:t xml:space="preserve"> </w:t>
      </w:r>
      <w:r>
        <w:t xml:space="preserve">Sonar (o del quality gate) non blocca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ed Ã¨ indipendente dal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 quel workflow (i due job avviano ciascuno il proprio Postgres</w:t>
      </w:r>
      <w:r>
        <w:t xml:space="preserve"> </w:t>
      </w:r>
      <w:r>
        <w:t xml:space="preserve">effimero e i propri test, senza condividerli).</w:t>
      </w:r>
    </w:p>
    <w:bookmarkEnd w:id="101"/>
    <w:bookmarkEnd w:id="102"/>
    <w:bookmarkStart w:id="103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Ã¨ la fonte di veritÃ  â†’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â†’ si rivede il file generato â†’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â€” possono</w:t>
      </w:r>
      <w:r>
        <w:t xml:space="preserve"> </w:t>
      </w:r>
      <w:r>
        <w:t xml:space="preserve">essere rieseguiti senza duplicare nÃ©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distinguibilitÃ  per daltonismo) Ã¨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03"/>
    <w:bookmarkEnd w:id="104"/>
    <w:bookmarkStart w:id="118" w:name="documentazione-di-sicurezza"/>
    <w:p>
      <w:pPr>
        <w:pStyle w:val="Heading1"/>
      </w:pPr>
      <w:r>
        <w:t xml:space="preserve">Documentazione di sicurezza</w:t>
      </w:r>
    </w:p>
    <w:bookmarkStart w:id="105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â€”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garantito dal terminamento TLS di Azure App</w:t>
      </w:r>
      <w:r>
        <w:t xml:space="preserve"> </w:t>
      </w:r>
      <w:r>
        <w:t xml:space="preserve">Service), durata</w:t>
      </w:r>
      <w:r>
        <w:t xml:space="preserve"> </w:t>
      </w:r>
      <w:r>
        <w:rPr>
          <w:b/>
          <w:bCs/>
        </w:rPr>
        <w:t xml:space="preserve">7 giorni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mai loggata o restituita dalle API (le query di</w:t>
      </w:r>
      <w:r>
        <w:t xml:space="preserve"> </w:t>
      </w:r>
      <w:r>
        <w:t xml:space="preserve">lettura utenti proiettano esplicitamente solo le colonne necessarie,</w:t>
      </w:r>
      <w:r>
        <w:t xml:space="preserve"> </w:t>
      </w:r>
      <w:r>
        <w:t xml:space="preserve">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 ad ogni singola richiesta, invece di fidarsi</w:t>
      </w:r>
      <w:r>
        <w:t xml:space="preserve"> </w:t>
      </w:r>
      <w:r>
        <w:t xml:space="preserve">solo del contenuto del JWT. Conseguenza pratica: disattivare un utente o</w:t>
      </w:r>
      <w:r>
        <w:t xml:space="preserve"> </w:t>
      </w:r>
      <w:r>
        <w:t xml:space="preserve">restringergli i permessi ha effetto</w:t>
      </w:r>
      <w:r>
        <w:t xml:space="preserve"> </w:t>
      </w:r>
      <w:r>
        <w:rPr>
          <w:b/>
          <w:bCs/>
        </w:rPr>
        <w:t xml:space="preserve">immediato</w:t>
      </w:r>
      <w:r>
        <w:t xml:space="preserve">, senza dover attendere</w:t>
      </w:r>
      <w:r>
        <w:t xml:space="preserve"> </w:t>
      </w:r>
      <w:r>
        <w:t xml:space="preserve">la scadenza del token (7 giorni) nÃ© implementare una blacklist di token</w:t>
      </w:r>
      <w:r>
        <w:t xml:space="preserve"> </w:t>
      </w:r>
      <w:r>
        <w:t xml:space="preserve">revocati.</w:t>
      </w:r>
    </w:p>
    <w:bookmarkEnd w:id="105"/>
    <w:bookmarkStart w:id="111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Ã¨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â†’ accesso completo (valore di default per ogni utente nuovo o</w:t>
      </w:r>
      <w:r>
        <w:t xml:space="preserve"> </w:t>
      </w:r>
      <w:r>
        <w:t xml:space="preserve">esistente prima dell’introduzione del modello) â€” comportamento</w:t>
      </w:r>
      <w:r>
        <w:t xml:space="preserve"> </w:t>
      </w:r>
      <w:r>
        <w:t xml:space="preserve">“safe by default, restrizione opt-in”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â†’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piÃ¹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â€” non esiste un secondo elenco da</w:t>
      </w:r>
      <w:r>
        <w:t xml:space="preserve"> </w:t>
      </w:r>
      <w:r>
        <w:t xml:space="preserve">tenere sincronizzato a mano.</w:t>
      </w:r>
    </w:p>
    <w:bookmarkStart w:id="106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piÃ¹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Ã¨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puÃ²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puÃ² creare o modificare</w:t>
      </w:r>
      <w:r>
        <w:t xml:space="preserve"> </w:t>
      </w:r>
      <w:r>
        <w:t xml:space="preserve">una persona (scrittura gated).</w:t>
      </w:r>
    </w:p>
    <w:bookmarkEnd w:id="106"/>
    <w:bookmarkStart w:id="108" w:name="matrice-endpoint-â-permesso-richiesto"/>
    <w:p>
      <w:pPr>
        <w:pStyle w:val="Heading3"/>
      </w:pPr>
      <w:r>
        <w:t xml:space="preserve">Matrice endpoint â†’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 piÃ¹ un controllo</w:t>
            </w:r>
            <w:r>
              <w:t xml:space="preserve"> </w:t>
            </w:r>
            <w:r>
              <w:rPr>
                <w:b/>
                <w:bCs/>
              </w:rPr>
              <w:t xml:space="preserve">inline</w:t>
            </w:r>
            <w:r>
              <w:t xml:space="preserve"> </w:t>
            </w:r>
            <w:r>
              <w:t xml:space="preserve">nell’handler (</w:t>
            </w:r>
            <w:r>
              <w:rPr>
                <w:rStyle w:val="VerbatimChar"/>
              </w:rPr>
              <w:t xml:space="preserve">req.user?.permissions !==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l’unico router protetto non da</w:t>
            </w:r>
            <w:r>
              <w:t xml:space="preserve"> </w:t>
            </w:r>
            <w:r>
              <w:rPr>
                <w:rStyle w:val="VerbatimChar"/>
              </w:rPr>
              <w:t xml:space="preserve">requireTab</w:t>
            </w:r>
            <w:r>
              <w:t xml:space="preserve">/</w:t>
            </w:r>
            <w:r>
              <w:rPr>
                <w:rStyle w:val="VerbatimChar"/>
              </w:rPr>
              <w:t xml:space="preserve">requireTabWrite</w:t>
            </w:r>
            <w:r>
              <w:t xml:space="preserve"> </w:t>
            </w:r>
            <w:r>
              <w:t xml:space="preserve">ma da un controllo ad-hoc: richiede che l’utente sia 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, accesso completo), non un permesso specifico su una sezione.</w:t>
            </w:r>
            <w:r>
              <w:t xml:space="preserve"> </w:t>
            </w:r>
            <w:r>
              <w:rPr>
                <w:rStyle w:val="VerbatimChar"/>
              </w:rPr>
              <w:t xml:space="preserve">POST /admin/reset-data</w:t>
            </w:r>
            <w:r>
              <w:t xml:space="preserve"> </w:t>
            </w:r>
            <w:r>
              <w:t xml:space="preserve">tronca tutte le tabelle dati applicative (vedi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01-funzionale.md Â§4.5</w:t>
              </w:r>
            </w:hyperlink>
            <w:r>
              <w:t xml:space="preserve">)</w:t>
            </w:r>
          </w:p>
        </w:tc>
      </w:tr>
    </w:tbl>
    <w:bookmarkEnd w:id="108"/>
    <w:bookmarkStart w:id="109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puÃ²,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â†’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(â†’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nÃ©,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(â†’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â€” non sono aggirabili chiamando l’API direttamente.</w:t>
      </w:r>
    </w:p>
    <w:bookmarkEnd w:id="109"/>
    <w:bookmarkStart w:id="110" w:name="difesa-in-profonditã-lato-client"/>
    <w:p>
      <w:pPr>
        <w:pStyle w:val="Heading3"/>
      </w:pPr>
      <w:r>
        <w:t xml:space="preserve">Difesa in profonditÃ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â†’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10"/>
    <w:bookmarkEnd w:id="111"/>
    <w:bookmarkStart w:id="113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â†’ Registro attivitÃ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entitÃ  e intervallo di date. La tabella Ã¨ denormalizzata (vedi</w:t>
      </w:r>
      <w:r>
        <w:t xml:space="preserve"> </w:t>
      </w:r>
      <w:hyperlink r:id="rId112">
        <w:r>
          <w:rPr>
            <w:rStyle w:val="Hyperlink"/>
          </w:rPr>
          <w:t xml:space="preserve">02-architettura.md Â§4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dell’entitÃ  coinvolta.</w:t>
      </w:r>
    </w:p>
    <w:bookmarkEnd w:id="113"/>
    <w:bookmarkStart w:id="114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 </w:t>
            </w:r>
            <w:r>
              <w:t xml:space="preserve">verso Azure 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Fallback di sviluppo (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se non impostato â€” da non usare mai in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03-tecnica.md Â§5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Ã¨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4"/>
    <w:bookmarkStart w:id="115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â†’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nessuna policy di complessitÃ  password lato server oltre alla lunghezza minima (8 caratteri, via zod)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 con</w:t>
            </w:r>
            <w:r>
              <w:t xml:space="preserve"> </w:t>
            </w:r>
            <w:r>
              <w:rPr>
                <w:rStyle w:val="VerbatimChar"/>
              </w:rPr>
              <w:t xml:space="preserve">z.enum</w:t>
            </w:r>
            <w:r>
              <w:t xml:space="preserve"> </w:t>
            </w:r>
            <w:r>
              <w:t xml:space="preserve">sulle sole chiavi di permesso valide; guardie anti-self-lockout lato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5"/>
    <w:bookmarkStart w:id="117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onestÃ  per chi valuterÃ  il sistema o pianificherÃ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 rate-limiting sul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non ha</w:t>
      </w:r>
      <w:r>
        <w:t xml:space="preserve"> </w:t>
      </w:r>
      <w:r>
        <w:t xml:space="preserve">protezione contro tentativi ripetuti (brute-force). Mitigazione</w:t>
      </w:r>
      <w:r>
        <w:t xml:space="preserve"> </w:t>
      </w:r>
      <w:r>
        <w:t xml:space="preserve">suggerita: rate-limiting per IP/email (es.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) o</w:t>
      </w:r>
      <w:r>
        <w:t xml:space="preserve"> </w:t>
      </w:r>
      <w:r>
        <w:t xml:space="preserve">lockout temporaneo dopo N tentativi falliti.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autenticazione a due fattori (2FA)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visibilitÃ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â€”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Dipendenza di produzione con vulnerabilitÃ  nota (</w:t>
      </w:r>
      <w:r>
        <w:rPr>
          <w:rStyle w:val="VerbatimChar"/>
          <w:b/>
          <w:bCs/>
        </w:rPr>
        <w:t xml:space="preserve">drizzle-orm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(verificato il 2026-09-02) segnala una vulnerabilitÃ 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drizzle-orm@0.31.4</w:t>
      </w:r>
      <w:r>
        <w:t xml:space="preserve"> </w:t>
      </w:r>
      <w:r>
        <w:t xml:space="preserve">(SQL injection via identificatori SQL</w:t>
      </w:r>
      <w:r>
        <w:t xml:space="preserve"> </w:t>
      </w:r>
      <w:r>
        <w:t xml:space="preserve">non correttamente escaped,</w:t>
      </w:r>
      <w:r>
        <w:t xml:space="preserve"> </w:t>
      </w:r>
      <w:hyperlink r:id="rId116">
        <w:r>
          <w:rPr>
            <w:rStyle w:val="Hyperlink"/>
          </w:rPr>
          <w:t xml:space="preserve">GHSA-gpj5-g38j-94v9</w:t>
        </w:r>
      </w:hyperlink>
      <w:r>
        <w:t xml:space="preserve">),</w:t>
      </w:r>
      <w:r>
        <w:t xml:space="preserve"> </w:t>
      </w:r>
      <w:r>
        <w:t xml:space="preserve">risolta in</w:t>
      </w:r>
      <w:r>
        <w:t xml:space="preserve"> </w:t>
      </w:r>
      <w:r>
        <w:rPr>
          <w:rStyle w:val="VerbatimChar"/>
        </w:rPr>
        <w:t xml:space="preserve">drizzle-orm@0.45.2</w:t>
      </w:r>
      <w:r>
        <w:t xml:space="preserve">. Ãˆ rilevante perchÃ© Drizzle Ã¨ proprio la</w:t>
      </w:r>
      <w:r>
        <w:t xml:space="preserve"> </w:t>
      </w:r>
      <w:r>
        <w:t xml:space="preserve">mitigazione indicata in questa stessa tabella per il rischio SQL injection</w:t>
      </w:r>
      <w:r>
        <w:t xml:space="preserve"> </w:t>
      </w:r>
      <w:r>
        <w:t xml:space="preserve">(Â§5) â€” va rivalutato l’aggiornamento (0.31.x â†’ 0.45.x Ã¨ un salto di major</w:t>
      </w:r>
      <w:r>
        <w:t xml:space="preserve"> </w:t>
      </w:r>
      <w:r>
        <w:t xml:space="preserve">minor con possibili breaking change, non ancora pianificato). Oltre a</w:t>
      </w:r>
      <w:r>
        <w:t xml:space="preserve"> </w:t>
      </w:r>
      <w:r>
        <w:t xml:space="preserve">questa,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segnala ulteriori vulnerabilitÃ  moderate/alte ma solo</w:t>
      </w:r>
      <w:r>
        <w:t xml:space="preserve"> </w:t>
      </w:r>
      <w:r>
        <w:t xml:space="preserve">in devDependencies (build/test tooling), non presenti nel bundle servito</w:t>
      </w:r>
      <w:r>
        <w:t xml:space="preserve"> </w:t>
      </w:r>
      <w:r>
        <w:t xml:space="preserve">agli utenti; da rivalutare periodicamente 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â€” non c’Ã¨ oggi un sistema centralizzato</w:t>
      </w:r>
      <w:r>
        <w:t xml:space="preserve"> </w:t>
      </w:r>
      <w:r>
        <w:t xml:space="preserve">di log/alerting (es. Application Insights) collegato all’App Service.</w:t>
      </w:r>
    </w:p>
    <w:bookmarkEnd w:id="117"/>
    <w:bookmarkEnd w:id="118"/>
    <w:bookmarkStart w:id="134" w:name="backlog-prodotto-â-workforce-manager"/>
    <w:p>
      <w:pPr>
        <w:pStyle w:val="Heading1"/>
      </w:pPr>
      <w:r>
        <w:t xml:space="preserve">Backlog prodotto â€” Workforce Manager</w:t>
      </w:r>
    </w:p>
    <w:p>
      <w:pPr>
        <w:pStyle w:val="FirstParagraph"/>
      </w:pPr>
      <w:r>
        <w:t xml:space="preserve">Backlog funzionale derivato dalle richieste del 2026-09-04. Le prioritÃ </w:t>
      </w:r>
      <w:r>
        <w:t xml:space="preserve"> </w:t>
      </w:r>
      <w:r>
        <w:t xml:space="preserve">indicano l’ordine suggerito per la consegna: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P0</w:t>
      </w:r>
      <w:r>
        <w:t xml:space="preserve">: controllo operativo o regola di integritÃ  da implementare prima</w:t>
      </w:r>
      <w:r>
        <w:t xml:space="preserve"> </w:t>
      </w:r>
      <w:r>
        <w:t xml:space="preserve">delle altre evoluzioni;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</w:t>
      </w:r>
      <w:r>
        <w:t xml:space="preserve">: funzionalitÃ  importante per l’uso quotidiano;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P2</w:t>
      </w:r>
      <w:r>
        <w:t xml:space="preserve">: miglioramento utile, ma non bloccante.</w:t>
      </w:r>
    </w:p>
    <w:bookmarkStart w:id="119" w:name="riepilogo"/>
    <w:p>
      <w:pPr>
        <w:pStyle w:val="Heading2"/>
      </w:pPr>
      <w:r>
        <w:t xml:space="preserve">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Titolo</w:t>
            </w:r>
          </w:p>
        </w:tc>
        <w:tc>
          <w:tcPr/>
          <w:p>
            <w:pPr>
              <w:pStyle w:val="Compact"/>
            </w:pPr>
            <w:r>
              <w:t xml:space="preserve">PrioritÃ </w:t>
            </w:r>
          </w:p>
        </w:tc>
        <w:tc>
          <w:tcPr/>
          <w:p>
            <w:pPr>
              <w:pStyle w:val="Compact"/>
            </w:pPr>
            <w:r>
              <w:t xml:space="preserve">Dipendenze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WFM-001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Bloccare il censimento su festivitÃ 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FestivitÃ 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WFM-002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Convertire la percentuale in ore con tooltip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CapacitÃ 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WFM-003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t xml:space="preserve">Eliminazione multipla delle risorse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API delete persone, conferma 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WFM-004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Ricerca e selezione multipla delle persone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WFM-005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Media di produttivitÃ  per progetto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Definizione metrica,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WFM-006</w:t>
            </w:r>
          </w:p>
        </w:tc>
        <w:tc>
          <w:tcPr/>
          <w:p>
            <w:pPr>
              <w:pStyle w:val="Compact"/>
            </w:pPr>
            <w:r>
              <w:t xml:space="preserve">Ferie / Calendario</w:t>
            </w:r>
          </w:p>
        </w:tc>
        <w:tc>
          <w:tcPr/>
          <w:p>
            <w:pPr>
              <w:pStyle w:val="Compact"/>
            </w:pPr>
            <w:r>
              <w:t xml:space="preserve">Sincronizzare assenze e bloccare i giorni approvati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Workflow assenze,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WFM-007</w:t>
            </w:r>
          </w:p>
        </w:tc>
        <w:tc>
          <w:tcPr/>
          <w:p>
            <w:pPr>
              <w:pStyle w:val="Compact"/>
            </w:pPr>
            <w:r>
              <w:t xml:space="preserve">Staffing</w:t>
            </w:r>
          </w:p>
        </w:tc>
        <w:tc>
          <w:tcPr/>
          <w:p>
            <w:pPr>
              <w:pStyle w:val="Compact"/>
            </w:pPr>
            <w:r>
              <w:t xml:space="preserve">Filtro per settimana, mese e anno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Intervallo temporale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WFM-008</w:t>
            </w:r>
          </w:p>
        </w:tc>
        <w:tc>
          <w:tcPr/>
          <w:p>
            <w:pPr>
              <w:pStyle w:val="Compact"/>
            </w:pPr>
            <w:r>
              <w:t xml:space="preserve">Dashboard / Impostazioni</w:t>
            </w:r>
          </w:p>
        </w:tc>
        <w:tc>
          <w:tcPr/>
          <w:p>
            <w:pPr>
              <w:pStyle w:val="Compact"/>
            </w:pPr>
            <w:r>
              <w:t xml:space="preserve">Inclusione configurabile dei contractor nella produttivitÃ  mensile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Impostazioni / Calcolo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WFM-009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Visualizzazione tipo persona nel Calendario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staffing, UI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WFM-010</w:t>
            </w:r>
          </w:p>
        </w:tc>
        <w:tc>
          <w:tcPr/>
          <w:p>
            <w:pPr>
              <w:pStyle w:val="Compact"/>
            </w:pPr>
            <w:r>
              <w:t xml:space="preserve">Calendario / Assegnazioni</w:t>
            </w:r>
          </w:p>
        </w:tc>
        <w:tc>
          <w:tcPr/>
          <w:p>
            <w:pPr>
              <w:pStyle w:val="Compact"/>
            </w:pPr>
            <w:r>
              <w:t xml:space="preserve">Visualizzazione codice commessa nella selezione assegnazione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Progetti, commessaId, UI Calendario / Modal</w:t>
            </w:r>
          </w:p>
        </w:tc>
      </w:tr>
    </w:tbl>
    <w:bookmarkEnd w:id="119"/>
    <w:bookmarkStart w:id="130" w:name="item-dettagliati"/>
    <w:p>
      <w:pPr>
        <w:pStyle w:val="Heading2"/>
      </w:pPr>
      <w:r>
        <w:t xml:space="preserve">Item dettagliati</w:t>
      </w:r>
    </w:p>
    <w:bookmarkStart w:id="120" w:name="X4ee552e3f888228b45498b5a2448bffe768f9d9"/>
    <w:p>
      <w:pPr>
        <w:pStyle w:val="Heading3"/>
      </w:pPr>
      <w:r>
        <w:t xml:space="preserve">WFM-001 â€” Bloccare il censimento su festivitÃ 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 business</w:t>
      </w:r>
    </w:p>
    <w:p>
      <w:pPr>
        <w:pStyle w:val="BodyText"/>
      </w:pPr>
      <w:r>
        <w:t xml:space="preserve">Quando una cella del calendario corrisponde a una festivitÃ  aziendale o</w:t>
      </w:r>
      <w:r>
        <w:t xml:space="preserve"> </w:t>
      </w:r>
      <w:r>
        <w:t xml:space="preserve">nazionale configurata, l’inserimento o la modifica di staffing deve essere</w:t>
      </w:r>
      <w:r>
        <w:t xml:space="preserve"> </w:t>
      </w:r>
      <w:r>
        <w:t xml:space="preserve">bloccato. In alternativa, se il business richiede di mantenere l’azione</w:t>
      </w:r>
      <w:r>
        <w:t xml:space="preserve"> </w:t>
      </w:r>
      <w:r>
        <w:t xml:space="preserve">possibile, deve essere mostrato un alert esplicito prima del salvataggio.</w:t>
      </w:r>
      <w:r>
        <w:t xml:space="preserve"> </w:t>
      </w:r>
      <w:r>
        <w:t xml:space="preserve">La scelta raccomandata Ã¨ il blocco server-side, con feedback preventivo lato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3"/>
        </w:numPr>
      </w:pPr>
      <w:r>
        <w:t xml:space="preserve">una cella di un giorno festivo Ã¨ riconoscibile visivamente e non Ã¨ editabile;</w:t>
      </w:r>
    </w:p>
    <w:p>
      <w:pPr>
        <w:pStyle w:val="Compact"/>
        <w:numPr>
          <w:ilvl w:val="0"/>
          <w:numId w:val="1013"/>
        </w:numPr>
      </w:pPr>
      <w:r>
        <w:t xml:space="preserve">un tentativo diretto verso l’API su una festivitÃ  viene rifiutato con errore</w:t>
      </w:r>
      <w:r>
        <w:t xml:space="preserve"> </w:t>
      </w:r>
      <w:r>
        <w:t xml:space="preserve">esplicito;</w:t>
      </w:r>
    </w:p>
    <w:p>
      <w:pPr>
        <w:pStyle w:val="Compact"/>
        <w:numPr>
          <w:ilvl w:val="0"/>
          <w:numId w:val="1013"/>
        </w:numPr>
      </w:pPr>
      <w:r>
        <w:t xml:space="preserve">il messaggio indica la festivitÃ  che causa il blocco;</w:t>
      </w:r>
    </w:p>
    <w:p>
      <w:pPr>
        <w:pStyle w:val="Compact"/>
        <w:numPr>
          <w:ilvl w:val="0"/>
          <w:numId w:val="1013"/>
        </w:numPr>
      </w:pPr>
      <w:r>
        <w:t xml:space="preserve">i giorni non festivi continuano a supportare inserimento, split e modifica;</w:t>
      </w:r>
    </w:p>
    <w:p>
      <w:pPr>
        <w:pStyle w:val="Compact"/>
        <w:numPr>
          <w:ilvl w:val="0"/>
          <w:numId w:val="1013"/>
        </w:numPr>
      </w:pPr>
      <w:r>
        <w:t xml:space="preserve">la regola Ã¨ coperta da test unitari e di integrazione.</w:t>
      </w:r>
    </w:p>
    <w:bookmarkEnd w:id="120"/>
    <w:bookmarkStart w:id="121" w:name="X40d31ab79f2bbeb99dc83f44d9ee5e35c36bf50"/>
    <w:p>
      <w:pPr>
        <w:pStyle w:val="Heading3"/>
      </w:pPr>
      <w:r>
        <w:t xml:space="preserve">WFM-002 â€” Mostrare le ore equivalenti alla percentuale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Passando sulla percentuale giornaliera, mostrare un tooltip con la conversione</w:t>
      </w:r>
      <w:r>
        <w:t xml:space="preserve"> </w:t>
      </w:r>
      <w:r>
        <w:t xml:space="preserve">in ore in base alla capacitÃ  della persona. Esempio con capacitÃ  settimanale</w:t>
      </w:r>
      <w:r>
        <w:t xml:space="preserve"> </w:t>
      </w:r>
      <w:r>
        <w:t xml:space="preserve">di 40 ore:</w:t>
      </w:r>
      <w:r>
        <w:t xml:space="preserve"> </w:t>
      </w:r>
      <w:r>
        <w:rPr>
          <w:rStyle w:val="VerbatimChar"/>
        </w:rPr>
        <w:t xml:space="preserve">50% = 4h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25% = 2h</w:t>
      </w:r>
      <w:r>
        <w:t xml:space="preserve">, assumendo 8 ore lavorative giornaliere.</w:t>
      </w:r>
      <w:r>
        <w:t xml:space="preserve"> </w:t>
      </w:r>
      <w:r>
        <w:t xml:space="preserve">La regola di conversione deve essere esplicita e non deve usare una capacitÃ </w:t>
      </w:r>
      <w:r>
        <w:t xml:space="preserve"> </w:t>
      </w:r>
      <w:r>
        <w:t xml:space="preserve">fissa quando la persona ha un override di capacitÃ 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4"/>
        </w:numPr>
      </w:pPr>
      <w:r>
        <w:t xml:space="preserve">il tooltip mostra percentuale, ore equivalenti e data/periodo della cella;</w:t>
      </w:r>
    </w:p>
    <w:p>
      <w:pPr>
        <w:pStyle w:val="Compact"/>
        <w:numPr>
          <w:ilvl w:val="0"/>
          <w:numId w:val="1014"/>
        </w:numPr>
      </w:pPr>
      <w:r>
        <w:t xml:space="preserve">con capacitÃ  giornaliera di 8 ore, 50% mostra 4h e 25% mostra 2h;</w:t>
      </w:r>
    </w:p>
    <w:p>
      <w:pPr>
        <w:pStyle w:val="Compact"/>
        <w:numPr>
          <w:ilvl w:val="0"/>
          <w:numId w:val="1014"/>
        </w:numPr>
      </w:pPr>
      <w:r>
        <w:t xml:space="preserve">per una persona part-time o con override viene usata la capacitÃ  effettiva;</w:t>
      </w:r>
    </w:p>
    <w:p>
      <w:pPr>
        <w:pStyle w:val="Compact"/>
        <w:numPr>
          <w:ilvl w:val="0"/>
          <w:numId w:val="1014"/>
        </w:numPr>
      </w:pPr>
      <w:r>
        <w:t xml:space="preserve">il tooltip Ã¨ disponibile in vista settimana, mese e anno senza cambiare il</w:t>
      </w:r>
      <w:r>
        <w:t xml:space="preserve"> </w:t>
      </w:r>
      <w:r>
        <w:t xml:space="preserve">valore memorizzato.</w:t>
      </w:r>
    </w:p>
    <w:p>
      <w:pPr>
        <w:pStyle w:val="FirstParagraph"/>
      </w:pPr>
      <w:r>
        <w:rPr>
          <w:b/>
          <w:bCs/>
        </w:rPr>
        <w:t xml:space="preserve">Nota da confermare:</w:t>
      </w:r>
      <w:r>
        <w:t xml:space="preserve"> </w:t>
      </w:r>
      <w:r>
        <w:t xml:space="preserve">se l’azienda considera sempre 5 giorni lavorativi,</w:t>
      </w:r>
      <w:r>
        <w:t xml:space="preserve"> </w:t>
      </w:r>
      <w:r>
        <w:t xml:space="preserve">la capacitÃ  giornaliera deve essere</w:t>
      </w:r>
      <w:r>
        <w:t xml:space="preserve"> </w:t>
      </w:r>
      <w:r>
        <w:rPr>
          <w:rStyle w:val="VerbatimChar"/>
        </w:rPr>
        <w:t xml:space="preserve">ore settimanali / 5</w:t>
      </w:r>
      <w:r>
        <w:t xml:space="preserve">; altrimenti va</w:t>
      </w:r>
      <w:r>
        <w:t xml:space="preserve"> </w:t>
      </w:r>
      <w:r>
        <w:t xml:space="preserve">confermata la ripartizione su 7 giorni attualmente usata dai KPI.</w:t>
      </w:r>
    </w:p>
    <w:bookmarkEnd w:id="121"/>
    <w:bookmarkStart w:id="122" w:name="Xb5ea440199455fb79e2da82bd4ed5d5612aba02"/>
    <w:p>
      <w:pPr>
        <w:pStyle w:val="Heading3"/>
      </w:pPr>
      <w:r>
        <w:t xml:space="preserve">WFM-003 â€” Eliminazione multipla delle persone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Persone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bulk action</w:t>
      </w:r>
    </w:p>
    <w:p>
      <w:pPr>
        <w:pStyle w:val="BodyText"/>
      </w:pPr>
      <w:r>
        <w:t xml:space="preserve">Consentire la selezione di piÃ¹ righe nella lista Persone e l’eliminazione in</w:t>
      </w:r>
      <w:r>
        <w:t xml:space="preserve"> </w:t>
      </w:r>
      <w:r>
        <w:t xml:space="preserve">blocco, per esempio per svuotare rapidamente una lista di risorse importata</w:t>
      </w:r>
      <w:r>
        <w:t xml:space="preserve"> </w:t>
      </w:r>
      <w:r>
        <w:t xml:space="preserve">per errore.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5"/>
        </w:numPr>
      </w:pPr>
      <w:r>
        <w:t xml:space="preserve">la tabella dispone di checkbox per riga e seleziona/deseleziona tutte le</w:t>
      </w:r>
      <w:r>
        <w:t xml:space="preserve"> </w:t>
      </w:r>
      <w:r>
        <w:t xml:space="preserve">righe filtrate;</w:t>
      </w:r>
    </w:p>
    <w:p>
      <w:pPr>
        <w:pStyle w:val="Compact"/>
        <w:numPr>
          <w:ilvl w:val="0"/>
          <w:numId w:val="1015"/>
        </w:numPr>
      </w:pPr>
      <w:r>
        <w:t xml:space="preserve">l’azione mostra il numero di persone e l’impatto sulle assegnazioni,</w:t>
      </w:r>
      <w:r>
        <w:t xml:space="preserve"> </w:t>
      </w:r>
      <w:r>
        <w:t xml:space="preserve">assenze e periodi di capacitÃ  collegati;</w:t>
      </w:r>
    </w:p>
    <w:p>
      <w:pPr>
        <w:pStyle w:val="Compact"/>
        <w:numPr>
          <w:ilvl w:val="0"/>
          <w:numId w:val="1015"/>
        </w:numPr>
      </w:pPr>
      <w:r>
        <w:t xml:space="preserve">la conferma Ã¨ obbligatoria e l’operazione Ã¨ annullabile prima dell’invio;</w:t>
      </w:r>
    </w:p>
    <w:p>
      <w:pPr>
        <w:pStyle w:val="Compact"/>
        <w:numPr>
          <w:ilvl w:val="0"/>
          <w:numId w:val="1015"/>
        </w:numPr>
      </w:pPr>
      <w:r>
        <w:t xml:space="preserve">il server esegue l’operazione in modo atomico, applicando le regole di</w:t>
      </w:r>
      <w:r>
        <w:t xml:space="preserve"> </w:t>
      </w:r>
      <w:r>
        <w:t xml:space="preserve">autorizzazione e cascata giÃ  previste;</w:t>
      </w:r>
    </w:p>
    <w:p>
      <w:pPr>
        <w:pStyle w:val="Compact"/>
        <w:numPr>
          <w:ilvl w:val="0"/>
          <w:numId w:val="1015"/>
        </w:numPr>
      </w:pPr>
      <w:r>
        <w:t xml:space="preserve">al termine la selezione viene azzerata e la lista viene ricaricata;</w:t>
      </w:r>
    </w:p>
    <w:p>
      <w:pPr>
        <w:pStyle w:val="Compact"/>
        <w:numPr>
          <w:ilvl w:val="0"/>
          <w:numId w:val="1015"/>
        </w:numPr>
      </w:pPr>
      <w:r>
        <w:t xml:space="preserve">il log attivitÃ  registra ogni eliminazione o un evento bulk con l’elenco</w:t>
      </w:r>
      <w:r>
        <w:t xml:space="preserve"> </w:t>
      </w:r>
      <w:r>
        <w:t xml:space="preserve">degli ID coinvolti.</w:t>
      </w:r>
    </w:p>
    <w:bookmarkEnd w:id="122"/>
    <w:bookmarkStart w:id="123" w:name="Xbacb170344d224136d1fd76e1609bcbe00f403f"/>
    <w:p>
      <w:pPr>
        <w:pStyle w:val="Heading3"/>
      </w:pPr>
      <w:r>
        <w:t xml:space="preserve">WFM-004 â€” Filtro multiselezione persone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Aggiungere un filtro ricercabile a selezione multipla per scegliere una o piÃ¹</w:t>
      </w:r>
      <w:r>
        <w:t xml:space="preserve"> </w:t>
      </w:r>
      <w:r>
        <w:t xml:space="preserve">risorse da visualizzare. La selezione appartiene al filtro sopra la tabella e</w:t>
      </w:r>
      <w:r>
        <w:t xml:space="preserve"> </w:t>
      </w:r>
      <w:r>
        <w:t xml:space="preserve">non alle singole righe del Calendario.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6"/>
        </w:numPr>
      </w:pPr>
      <w:r>
        <w:t xml:space="preserve">la ricerca filtra per nome e, se disponibile, ruolo;</w:t>
      </w:r>
    </w:p>
    <w:p>
      <w:pPr>
        <w:pStyle w:val="Compact"/>
        <w:numPr>
          <w:ilvl w:val="0"/>
          <w:numId w:val="1016"/>
        </w:numPr>
      </w:pPr>
      <w:r>
        <w:t xml:space="preserve">il menu del filtro consente selezione singola, multipla, selezione dei</w:t>
      </w:r>
      <w:r>
        <w:t xml:space="preserve"> </w:t>
      </w:r>
      <w:r>
        <w:t xml:space="preserve">risultati ricercati e ripristino di tutte le persone;</w:t>
      </w:r>
    </w:p>
    <w:p>
      <w:pPr>
        <w:pStyle w:val="Compact"/>
        <w:numPr>
          <w:ilvl w:val="0"/>
          <w:numId w:val="1016"/>
        </w:numPr>
      </w:pPr>
      <w:r>
        <w:t xml:space="preserve">la tabella non mostra checkbox sulle righe e contiene esclusivamente le</w:t>
      </w:r>
      <w:r>
        <w:t xml:space="preserve"> </w:t>
      </w:r>
      <w:r>
        <w:t xml:space="preserve">risorse scelte nel filtro;</w:t>
      </w:r>
    </w:p>
    <w:p>
      <w:pPr>
        <w:pStyle w:val="Compact"/>
        <w:numPr>
          <w:ilvl w:val="0"/>
          <w:numId w:val="1016"/>
        </w:numPr>
      </w:pPr>
      <w:r>
        <w:t xml:space="preserve">il filtro resta applicato cambiando settimana, mese o anno;</w:t>
      </w:r>
    </w:p>
    <w:p>
      <w:pPr>
        <w:pStyle w:val="Compact"/>
        <w:numPr>
          <w:ilvl w:val="0"/>
          <w:numId w:val="1016"/>
        </w:numPr>
      </w:pPr>
      <w:r>
        <w:t xml:space="preserve">cambiare modalitÃ  Staffing/Ferie-Assenze non perde la selezione;</w:t>
      </w:r>
    </w:p>
    <w:p>
      <w:pPr>
        <w:pStyle w:val="Compact"/>
        <w:numPr>
          <w:ilvl w:val="0"/>
          <w:numId w:val="1016"/>
        </w:numPr>
      </w:pPr>
      <w:r>
        <w:t xml:space="preserve">se nessuna persona corrisponde viene mostrato uno stato vuoto esplicito;</w:t>
      </w:r>
    </w:p>
    <w:p>
      <w:pPr>
        <w:pStyle w:val="Compact"/>
        <w:numPr>
          <w:ilvl w:val="0"/>
          <w:numId w:val="1016"/>
        </w:numPr>
      </w:pPr>
      <w:r>
        <w:t xml:space="preserve">il filtro Ã¨ solo di presentazione e non modifica i dati del calendario.</w:t>
      </w:r>
    </w:p>
    <w:bookmarkEnd w:id="123"/>
    <w:bookmarkStart w:id="124" w:name="X009ae6d0814605f480aa4b6d1be4c18b05736b3"/>
    <w:p>
      <w:pPr>
        <w:pStyle w:val="Heading3"/>
      </w:pPr>
      <w:r>
        <w:t xml:space="preserve">WFM-005 â€” Media di produttivitÃ  per progetto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</w:t>
      </w:r>
    </w:p>
    <w:p>
      <w:pPr>
        <w:pStyle w:val="BodyText"/>
      </w:pPr>
      <w:r>
        <w:t xml:space="preserve">Affiancare alla media del periodo una vista della media di produttivitÃ  per</w:t>
      </w:r>
      <w:r>
        <w:t xml:space="preserve"> </w:t>
      </w:r>
      <w:r>
        <w:t xml:space="preserve">progetto. Prima dell’implementazione va definito se â€œproduttivitÃ â€ coincide</w:t>
      </w:r>
      <w:r>
        <w:t xml:space="preserve"> </w:t>
      </w:r>
      <w:r>
        <w:t xml:space="preserve">con percentuale allocata, ore allocate su capacitÃ , oppure con una metrica</w:t>
      </w:r>
      <w:r>
        <w:t xml:space="preserve"> </w:t>
      </w:r>
      <w:r>
        <w:t xml:space="preserve">consuntiva futura. In assenza di consuntivi, la proposta iniziale Ã¨ mostrare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media di allocazione del progetto nel periodo</w:t>
      </w:r>
      <w:r>
        <w:t xml:space="preserve"> </w:t>
      </w:r>
      <w:r>
        <w:t xml:space="preserve">e chiamarla chiaramente</w:t>
      </w:r>
      <w:r>
        <w:t xml:space="preserve"> </w:t>
      </w:r>
      <w:r>
        <w:t xml:space="preserve">â€œMedia allocazioneâ€.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7"/>
        </w:numPr>
      </w:pPr>
      <w:r>
        <w:t xml:space="preserve">la Dashboard mostra una riga o un grafico per ogni progetto presente nel</w:t>
      </w:r>
      <w:r>
        <w:t xml:space="preserve"> </w:t>
      </w:r>
      <w:r>
        <w:t xml:space="preserve">periodo selezionato;</w:t>
      </w:r>
    </w:p>
    <w:p>
      <w:pPr>
        <w:pStyle w:val="Compact"/>
        <w:numPr>
          <w:ilvl w:val="0"/>
          <w:numId w:val="1017"/>
        </w:numPr>
      </w:pPr>
      <w:r>
        <w:t xml:space="preserve">per ogni progetto sono visibili media percentuale, ore equivalenti e periodo</w:t>
      </w:r>
      <w:r>
        <w:t xml:space="preserve"> </w:t>
      </w:r>
      <w:r>
        <w:t xml:space="preserve">di riferimento;</w:t>
      </w:r>
    </w:p>
    <w:p>
      <w:pPr>
        <w:pStyle w:val="Compact"/>
        <w:numPr>
          <w:ilvl w:val="0"/>
          <w:numId w:val="1017"/>
        </w:numPr>
      </w:pPr>
      <w:r>
        <w:t xml:space="preserve">progetti senza assegnazioni nel periodo non vengono confusi con progetti a</w:t>
      </w:r>
      <w:r>
        <w:t xml:space="preserve"> </w:t>
      </w:r>
      <w:r>
        <w:t xml:space="preserve">media zero e sono indicati separatamente;</w:t>
      </w:r>
    </w:p>
    <w:p>
      <w:pPr>
        <w:pStyle w:val="Compact"/>
        <w:numPr>
          <w:ilvl w:val="0"/>
          <w:numId w:val="1017"/>
        </w:numPr>
      </w:pPr>
      <w:r>
        <w:t xml:space="preserve">il click apre il drilldown del progetto con persone e assegnazioni incluse;</w:t>
      </w:r>
    </w:p>
    <w:p>
      <w:pPr>
        <w:pStyle w:val="Compact"/>
        <w:numPr>
          <w:ilvl w:val="0"/>
          <w:numId w:val="1017"/>
        </w:numPr>
      </w:pPr>
      <w:r>
        <w:t xml:space="preserve">il calcolo rispetta capacitÃ  variabile, date dell’assegnazione e filtri</w:t>
      </w:r>
      <w:r>
        <w:t xml:space="preserve"> </w:t>
      </w:r>
      <w:r>
        <w:t xml:space="preserve">settimana/mese/anno;</w:t>
      </w:r>
    </w:p>
    <w:p>
      <w:pPr>
        <w:pStyle w:val="Compact"/>
        <w:numPr>
          <w:ilvl w:val="0"/>
          <w:numId w:val="1017"/>
        </w:numPr>
      </w:pPr>
      <w:r>
        <w:t xml:space="preserve">la metrica e la formula sono descritte nella UI o nella documentazione.</w:t>
      </w:r>
    </w:p>
    <w:bookmarkEnd w:id="124"/>
    <w:bookmarkStart w:id="125" w:name="X9d256234e30be203fcff0b8b274071bcd41b59b"/>
    <w:p>
      <w:pPr>
        <w:pStyle w:val="Heading3"/>
      </w:pPr>
      <w:r>
        <w:t xml:space="preserve">WFM-006 â€” Sincronizzare assenze e bloccare i giorni approvati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Ferie/Assenze Â· 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</w:t>
      </w:r>
      <w:r>
        <w:t xml:space="preserve"> </w:t>
      </w:r>
      <w:r>
        <w:t xml:space="preserve">business</w:t>
      </w:r>
    </w:p>
    <w:p>
      <w:pPr>
        <w:pStyle w:val="BodyText"/>
      </w:pPr>
      <w:r>
        <w:t xml:space="preserve">Quando viene inserita un’assenza, il Calendario deve mostrare la voce</w:t>
      </w:r>
      <w:r>
        <w:t xml:space="preserve"> </w:t>
      </w:r>
      <w:r>
        <w:rPr>
          <w:b/>
          <w:bCs/>
        </w:rPr>
        <w:t xml:space="preserve">Assenza</w:t>
      </w:r>
      <w:r>
        <w:t xml:space="preserve"> </w:t>
      </w:r>
      <w:r>
        <w:t xml:space="preserve">sulla persona e sulle date interessate. Quando l’assenza Ã¨</w:t>
      </w:r>
      <w:r>
        <w:t xml:space="preserve"> </w:t>
      </w:r>
      <w:r>
        <w:t xml:space="preserve">approvata, il censimento staffing della giornata deve essere bloccato. Le</w:t>
      </w:r>
      <w:r>
        <w:t xml:space="preserve"> </w:t>
      </w:r>
      <w:r>
        <w:t xml:space="preserve">assenze in attesa possono essere visualizzate con stato distinto; quelle</w:t>
      </w:r>
      <w:r>
        <w:t xml:space="preserve"> </w:t>
      </w:r>
      <w:r>
        <w:t xml:space="preserve">rifiutate non devono bloccare e non devono essere conteggiate come assenza</w:t>
      </w:r>
      <w:r>
        <w:t xml:space="preserve"> </w:t>
      </w:r>
      <w:r>
        <w:t xml:space="preserve">effettiva.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8"/>
        </w:numPr>
      </w:pPr>
      <w:r>
        <w:t xml:space="preserve">una nuova assenza compare nel Calendario senza inserimenti manuali;</w:t>
      </w:r>
    </w:p>
    <w:p>
      <w:pPr>
        <w:pStyle w:val="Compact"/>
        <w:numPr>
          <w:ilvl w:val="0"/>
          <w:numId w:val="1018"/>
        </w:numPr>
      </w:pPr>
      <w:r>
        <w:t xml:space="preserve">la visualizzazione distingue almeno tipo e stato dell’assenza;</w:t>
      </w:r>
    </w:p>
    <w:p>
      <w:pPr>
        <w:pStyle w:val="Compact"/>
        <w:numPr>
          <w:ilvl w:val="0"/>
          <w:numId w:val="1018"/>
        </w:numPr>
      </w:pPr>
      <w:r>
        <w:t xml:space="preserve">un’assenza approvata impedisce inserimento, modifica e split dello staffing</w:t>
      </w:r>
      <w:r>
        <w:t xml:space="preserve"> </w:t>
      </w:r>
      <w:r>
        <w:t xml:space="preserve">sulle date sovrapposte;</w:t>
      </w:r>
    </w:p>
    <w:p>
      <w:pPr>
        <w:pStyle w:val="Compact"/>
        <w:numPr>
          <w:ilvl w:val="0"/>
          <w:numId w:val="1018"/>
        </w:numPr>
      </w:pPr>
      <w:r>
        <w:t xml:space="preserve">il server rifiuta anche richieste API manipolate sulle date bloccate;</w:t>
      </w:r>
    </w:p>
    <w:p>
      <w:pPr>
        <w:pStyle w:val="Compact"/>
        <w:numPr>
          <w:ilvl w:val="0"/>
          <w:numId w:val="1018"/>
        </w:numPr>
      </w:pPr>
      <w:r>
        <w:t xml:space="preserve">un’assenza rifiutata non blocca lo staffing;</w:t>
      </w:r>
    </w:p>
    <w:p>
      <w:pPr>
        <w:pStyle w:val="Compact"/>
        <w:numPr>
          <w:ilvl w:val="0"/>
          <w:numId w:val="1018"/>
        </w:numPr>
      </w:pPr>
      <w:r>
        <w:t xml:space="preserve">modifica, approvazione, rifiuto o cancellazione aggiornano il Calendario;</w:t>
      </w:r>
    </w:p>
    <w:p>
      <w:pPr>
        <w:pStyle w:val="Compact"/>
        <w:numPr>
          <w:ilvl w:val="0"/>
          <w:numId w:val="1018"/>
        </w:numPr>
      </w:pPr>
      <w:r>
        <w:t xml:space="preserve">sono coperti i casi di intervallo parziale, sovrapposizione e cambio stato.</w:t>
      </w:r>
    </w:p>
    <w:p>
      <w:pPr>
        <w:pStyle w:val="FirstParagraph"/>
      </w:pPr>
      <w:r>
        <w:rPr>
          <w:b/>
          <w:bCs/>
        </w:rPr>
        <w:t xml:space="preserve">Decisione da confermare:</w:t>
      </w:r>
      <w:r>
        <w:t xml:space="preserve"> </w:t>
      </w:r>
      <w:r>
        <w:t xml:space="preserve">il blocco deve valere solo per il giorno intero</w:t>
      </w:r>
      <w:r>
        <w:t xml:space="preserve"> </w:t>
      </w:r>
      <w:r>
        <w:t xml:space="preserve">oppure anche per assenze espresse in ore? Per le assenze orarie serve</w:t>
      </w:r>
      <w:r>
        <w:t xml:space="preserve"> </w:t>
      </w:r>
      <w:r>
        <w:t xml:space="preserve">aggiungere durata e unitÃ  di misura al modello dati, se non giÃ  disponibili.</w:t>
      </w:r>
    </w:p>
    <w:bookmarkEnd w:id="125"/>
    <w:bookmarkStart w:id="126" w:name="X3cfa56c398622bb2727930ee609f4d5f2687067"/>
    <w:p>
      <w:pPr>
        <w:pStyle w:val="Heading3"/>
      </w:pPr>
      <w:r>
        <w:t xml:space="preserve">WFM-007 â€” Filtro staffing per settimana, mese e anno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Staffing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filtro temporale</w:t>
      </w:r>
    </w:p>
    <w:p>
      <w:pPr>
        <w:pStyle w:val="BodyText"/>
      </w:pPr>
      <w:r>
        <w:t xml:space="preserve">Sostituire o affiancare il filtro â€œattive in questa dataâ€ con un selettore di</w:t>
      </w:r>
      <w:r>
        <w:t xml:space="preserve"> </w:t>
      </w:r>
      <w:r>
        <w:t xml:space="preserve">periodo: settimana, mese o anno. Il filtro deve mostrare le assegnazioni che</w:t>
      </w:r>
      <w:r>
        <w:t xml:space="preserve"> </w:t>
      </w:r>
      <w:r>
        <w:t xml:space="preserve">intersecano l’intervallo selezionato, senza richiedere che siano contenute</w:t>
      </w:r>
      <w:r>
        <w:t xml:space="preserve"> </w:t>
      </w:r>
      <w:r>
        <w:t xml:space="preserve">interamente nel periodo.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9"/>
        </w:numPr>
      </w:pPr>
      <w:r>
        <w:t xml:space="preserve">sono disponibili le modalitÃ  settimana, mese e anno;</w:t>
      </w:r>
    </w:p>
    <w:p>
      <w:pPr>
        <w:pStyle w:val="Compact"/>
        <w:numPr>
          <w:ilvl w:val="0"/>
          <w:numId w:val="1019"/>
        </w:numPr>
      </w:pPr>
      <w:r>
        <w:t xml:space="preserve">l’utente puÃ² navigare al periodo precedente/successivo e tornare al periodo</w:t>
      </w:r>
      <w:r>
        <w:t xml:space="preserve"> </w:t>
      </w:r>
      <w:r>
        <w:t xml:space="preserve">corrente;</w:t>
      </w:r>
    </w:p>
    <w:p>
      <w:pPr>
        <w:pStyle w:val="Compact"/>
        <w:numPr>
          <w:ilvl w:val="0"/>
          <w:numId w:val="1019"/>
        </w:numPr>
      </w:pPr>
      <w:r>
        <w:t xml:space="preserve">un’assegnazione Ã¨ inclusa se interseca almeno un giorno dell’intervallo;</w:t>
      </w:r>
    </w:p>
    <w:p>
      <w:pPr>
        <w:pStyle w:val="Compact"/>
        <w:numPr>
          <w:ilvl w:val="0"/>
          <w:numId w:val="1019"/>
        </w:numPr>
      </w:pPr>
      <w:r>
        <w:t xml:space="preserve">i filtri persona, progetto, ricerca e ordinamento restano combinabili;</w:t>
      </w:r>
    </w:p>
    <w:p>
      <w:pPr>
        <w:pStyle w:val="Compact"/>
        <w:numPr>
          <w:ilvl w:val="0"/>
          <w:numId w:val="1019"/>
        </w:numPr>
      </w:pPr>
      <w:r>
        <w:t xml:space="preserve">il riepilogo indica periodo e numero di assegnazioni risultanti;</w:t>
      </w:r>
    </w:p>
    <w:p>
      <w:pPr>
        <w:pStyle w:val="Compact"/>
        <w:numPr>
          <w:ilvl w:val="0"/>
          <w:numId w:val="1019"/>
        </w:numPr>
      </w:pPr>
      <w:r>
        <w:t xml:space="preserve">il comportamento Ã¨ coerente tra vista Lista e vista Per persona.</w:t>
      </w:r>
    </w:p>
    <w:bookmarkEnd w:id="126"/>
    <w:bookmarkStart w:id="127" w:name="X6edbeeb3f562fdd90ae375ccba8fc82ef6cd3a6"/>
    <w:p>
      <w:pPr>
        <w:pStyle w:val="Heading3"/>
      </w:pPr>
      <w:r>
        <w:t xml:space="preserve">WFM-008 â€” Inclusione configurabile dei contractor nella produttivitÃ  mensile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/ Impostazioni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 / configurazione</w:t>
      </w:r>
    </w:p>
    <w:p>
      <w:pPr>
        <w:pStyle w:val="BodyText"/>
      </w:pPr>
      <w:r>
        <w:t xml:space="preserve">Consentire all’utente/amministratore di scegliere se le risorse esterne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 = 'consulente'</w:t>
      </w:r>
      <w:r>
        <w:t xml:space="preserve"> </w:t>
      </w:r>
      <w:r>
        <w:t xml:space="preserve">/ contractor) devono concorrere al calcolo della</w:t>
      </w:r>
      <w:r>
        <w:t xml:space="preserve"> </w:t>
      </w:r>
      <w:r>
        <w:t xml:space="preserve">produttivitÃ  e della media di allocazione mensile nella Dashboard (e relativi</w:t>
      </w:r>
      <w:r>
        <w:t xml:space="preserve"> </w:t>
      </w:r>
      <w:r>
        <w:t xml:space="preserve">KPI del team: media allocazione, FTE allocati, risorse sotto/sovra-utilizzate).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0"/>
        </w:numPr>
      </w:pPr>
      <w:r>
        <w:t xml:space="preserve">presenza di un’opzione di configurazione (in Impostazioni &gt; Soglie o toggle rapido in Dashboard) per includere/escludere i contractor dal calcolo della produttivitÃ /allocazione;</w:t>
      </w:r>
    </w:p>
    <w:p>
      <w:pPr>
        <w:pStyle w:val="Compact"/>
        <w:numPr>
          <w:ilvl w:val="0"/>
          <w:numId w:val="1020"/>
        </w:numPr>
      </w:pPr>
      <w:r>
        <w:t xml:space="preserve">quando l’opzione esclude i contractor, la media del team, le ore libere, gli FTE e gli elenchi sotto/sovra-allocazione considerano solo i dipendenti/stage;</w:t>
      </w:r>
    </w:p>
    <w:p>
      <w:pPr>
        <w:pStyle w:val="Compact"/>
        <w:numPr>
          <w:ilvl w:val="0"/>
          <w:numId w:val="1020"/>
        </w:numPr>
      </w:pPr>
      <w:r>
        <w:t xml:space="preserve">la vista di riepilogo dei progetti continua a mostrare l’allocazione effettiva complessiva sul progetto o evidenzia la quota contractor/dipendenti;</w:t>
      </w:r>
    </w:p>
    <w:p>
      <w:pPr>
        <w:pStyle w:val="Compact"/>
        <w:numPr>
          <w:ilvl w:val="0"/>
          <w:numId w:val="1020"/>
        </w:numPr>
      </w:pPr>
      <w:r>
        <w:t xml:space="preserve">lo stato dell’impostazione viene persistito ed Ã¨ coerente al cambio mese/settimana/anno;</w:t>
      </w:r>
    </w:p>
    <w:p>
      <w:pPr>
        <w:pStyle w:val="Compact"/>
        <w:numPr>
          <w:ilvl w:val="0"/>
          <w:numId w:val="1020"/>
        </w:numPr>
      </w:pPr>
      <w:r>
        <w:t xml:space="preserve">calcoli e formule sono coperti da test unitari.</w:t>
      </w:r>
    </w:p>
    <w:bookmarkEnd w:id="127"/>
    <w:bookmarkStart w:id="128" w:name="X9cd5384eba9991ee0adf6f8b4bdb9f6392c47de"/>
    <w:p>
      <w:pPr>
        <w:pStyle w:val="Heading3"/>
      </w:pPr>
      <w:r>
        <w:t xml:space="preserve">WFM-009 â€” Visualizzazione tipo persona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Nel Calendario, mostrare esplicitamente per ogni risorsa il campo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definito nell’anagrafica Persone 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),</w:t>
      </w:r>
      <w:r>
        <w:t xml:space="preserve"> </w:t>
      </w:r>
      <w:r>
        <w:t xml:space="preserve">tramite etichetta/badge dedicato o testo affiancato al nome, integrato da</w:t>
      </w:r>
      <w:r>
        <w:t xml:space="preserve"> </w:t>
      </w:r>
      <w:r>
        <w:t xml:space="preserve">un tooltip esplicativo (es:</w:t>
      </w:r>
      <w:r>
        <w:t xml:space="preserve"> </w:t>
      </w:r>
      <w:r>
        <w:rPr>
          <w:i/>
          <w:iCs/>
        </w:rPr>
        <w:t xml:space="preserve">Eustachio Sardone (Dipendente)</w:t>
      </w:r>
      <w:r>
        <w:t xml:space="preserve">,</w:t>
      </w:r>
      <w:r>
        <w:t xml:space="preserve"> </w:t>
      </w:r>
      <w:r>
        <w:rPr>
          <w:i/>
          <w:iCs/>
        </w:rPr>
        <w:t xml:space="preserve">Claudio Anelli (Consulente)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1"/>
        </w:numPr>
      </w:pPr>
      <w:r>
        <w:t xml:space="preserve">il tipo persona (</w:t>
      </w:r>
      <w:r>
        <w:rPr>
          <w:rStyle w:val="VerbatimChar"/>
        </w:rPr>
        <w:t xml:space="preserve">dipendente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) Ã¨ incluso nel payload dello snapshot staffing (</w:t>
      </w:r>
      <w:r>
        <w:rPr>
          <w:rStyle w:val="VerbatimChar"/>
        </w:rPr>
        <w:t xml:space="preserve">/staffing/snapshot</w:t>
      </w:r>
      <w:r>
        <w:t xml:space="preserve">) e fruibile nel Calendario;</w:t>
      </w:r>
    </w:p>
    <w:p>
      <w:pPr>
        <w:pStyle w:val="Compact"/>
        <w:numPr>
          <w:ilvl w:val="0"/>
          <w:numId w:val="1021"/>
        </w:numPr>
      </w:pPr>
      <w:r>
        <w:t xml:space="preserve">nella colonna</w:t>
      </w:r>
      <w:r>
        <w:t xml:space="preserve"> </w:t>
      </w:r>
      <w:r>
        <w:t xml:space="preserve">“Persona”</w:t>
      </w:r>
      <w:r>
        <w:t xml:space="preserve"> </w:t>
      </w:r>
      <w:r>
        <w:t xml:space="preserve">Ã¨ visibile la tipologia risorsa accanto al nome (es. badge/etichetta o testo formattato);</w:t>
      </w:r>
    </w:p>
    <w:p>
      <w:pPr>
        <w:pStyle w:val="Compact"/>
        <w:numPr>
          <w:ilvl w:val="0"/>
          <w:numId w:val="1021"/>
        </w:numPr>
      </w:pPr>
      <w:r>
        <w:t xml:space="preserve">al passaggio del mouse sul nome della persona Ã¨ disponibile un tooltip esplicito con formato</w:t>
      </w:r>
      <w:r>
        <w:t xml:space="preserve"> </w:t>
      </w:r>
      <w:r>
        <w:rPr>
          <w:rStyle w:val="VerbatimChar"/>
        </w:rPr>
        <w:t xml:space="preserve">Nome Cognome (Tipo)</w:t>
      </w:r>
      <w:r>
        <w:t xml:space="preserve"> </w:t>
      </w:r>
      <w:r>
        <w:t xml:space="preserve">e ruolo;</w:t>
      </w:r>
    </w:p>
    <w:p>
      <w:pPr>
        <w:pStyle w:val="Compact"/>
        <w:numPr>
          <w:ilvl w:val="0"/>
          <w:numId w:val="1021"/>
        </w:numPr>
      </w:pPr>
      <w:r>
        <w:t xml:space="preserve">la visualizzazione Ã¨ attiva sia in modalitÃ  Staffing sia in Ferie/Assenze;</w:t>
      </w:r>
    </w:p>
    <w:p>
      <w:pPr>
        <w:pStyle w:val="Compact"/>
        <w:numPr>
          <w:ilvl w:val="0"/>
          <w:numId w:val="1021"/>
        </w:numPr>
      </w:pPr>
      <w:r>
        <w:t xml:space="preserve">il filtro di ricerca persone nel Calendario permette la ricerca anche per tipo risorsa.</w:t>
      </w:r>
    </w:p>
    <w:bookmarkEnd w:id="128"/>
    <w:bookmarkStart w:id="129" w:name="X95a55bfa3b77a5a4a3bc608be5dc95cf1ceb749"/>
    <w:p>
      <w:pPr>
        <w:pStyle w:val="Heading3"/>
      </w:pPr>
      <w:r>
        <w:t xml:space="preserve">WFM-010 â€” Visualizzazione codice commessa nella selezione assegnazione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/ Assegnazioni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Quando si assegna o si modifica un progetto nel Calendario (sia dal menu a</w:t>
      </w:r>
      <w:r>
        <w:t xml:space="preserve"> </w:t>
      </w:r>
      <w:r>
        <w:t xml:space="preserve">tendina della riga espansa, sia dal modale di assegnazione rapida /</w:t>
      </w:r>
      <w:r>
        <w:t xml:space="preserve"> </w:t>
      </w:r>
      <w:r>
        <w:t xml:space="preserve">AssignmentModal), mostrare chiaramente sia il</w:t>
      </w:r>
      <w:r>
        <w:t xml:space="preserve"> </w:t>
      </w:r>
      <w:r>
        <w:rPr>
          <w:b/>
          <w:bCs/>
        </w:rPr>
        <w:t xml:space="preserve">nome del progetto</w:t>
      </w:r>
      <w:r>
        <w:t xml:space="preserve"> </w:t>
      </w:r>
      <w:r>
        <w:t xml:space="preserve">sia il</w:t>
      </w:r>
      <w:r>
        <w:t xml:space="preserve"> </w:t>
      </w:r>
      <w:r>
        <w:t xml:space="preserve">relativo</w:t>
      </w:r>
      <w:r>
        <w:t xml:space="preserve"> </w:t>
      </w:r>
      <w:r>
        <w:rPr>
          <w:b/>
          <w:bCs/>
        </w:rPr>
        <w:t xml:space="preserve">codice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). Esempio:</w:t>
      </w:r>
      <w:r>
        <w:t xml:space="preserve"> </w:t>
      </w:r>
      <w:r>
        <w:rPr>
          <w:i/>
          <w:iCs/>
        </w:rPr>
        <w:t xml:space="preserve">Migrazione Cloud (migrazione-cloud-2026-09-04)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22"/>
        </w:numPr>
      </w:pPr>
      <w:r>
        <w:t xml:space="preserve">nel dropdown di selezione del progetto delle righe assegnazione del Calendario, le opzioni mostrano formato esplicito</w:t>
      </w:r>
      <w:r>
        <w:t xml:space="preserve"> </w:t>
      </w:r>
      <w:r>
        <w:rPr>
          <w:rStyle w:val="VerbatimChar"/>
        </w:rPr>
        <w:t xml:space="preserve">[Nome Progetto] (Commessa: [commessaId])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t xml:space="preserve">nel selettore progetto del modale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, ogni opzione include sia il nome del progetto sia l’identificativo commessa;</w:t>
      </w:r>
    </w:p>
    <w:p>
      <w:pPr>
        <w:pStyle w:val="Compact"/>
        <w:numPr>
          <w:ilvl w:val="0"/>
          <w:numId w:val="1022"/>
        </w:numPr>
      </w:pPr>
      <w:r>
        <w:t xml:space="preserve">nel tooltip informativo delle celle del calendario, accanto al nome progetto Ã¨ presente anche il codice commessa per disambiguare assegnazioni su progetti simili/omonimi;</w:t>
      </w:r>
    </w:p>
    <w:p>
      <w:pPr>
        <w:pStyle w:val="Compact"/>
        <w:numPr>
          <w:ilvl w:val="0"/>
          <w:numId w:val="1022"/>
        </w:numPr>
      </w:pPr>
      <w:r>
        <w:t xml:space="preserve">la selezione continua a salvare correttamente il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corrispondente senza regressioni.</w:t>
      </w:r>
    </w:p>
    <w:bookmarkEnd w:id="129"/>
    <w:bookmarkEnd w:id="130"/>
    <w:bookmarkStart w:id="131" w:name="ordine-suggerito-di-rilascio"/>
    <w:p>
      <w:pPr>
        <w:pStyle w:val="Heading2"/>
      </w:pPr>
      <w:r>
        <w:t xml:space="preserve">Ordine suggerito di rilascio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P0 â€” IntegritÃ  del calendario:</w:t>
      </w:r>
      <w:r>
        <w:t xml:space="preserve"> </w:t>
      </w:r>
      <w:r>
        <w:t xml:space="preserve">WFM-001 e WFM-006, includendo i</w:t>
      </w:r>
      <w:r>
        <w:t xml:space="preserve"> </w:t>
      </w:r>
      <w:r>
        <w:t xml:space="preserve">controlli server-side e i test sulle sovrapposizioni.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OperativitÃ  quotidiana:</w:t>
      </w:r>
      <w:r>
        <w:t xml:space="preserve"> </w:t>
      </w:r>
      <w:r>
        <w:t xml:space="preserve">WFM-003, WFM-004 e WFM-007.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Reporting:</w:t>
      </w:r>
      <w:r>
        <w:t xml:space="preserve"> </w:t>
      </w:r>
      <w:r>
        <w:t xml:space="preserve">WFM-005, dopo la decisione sulla definizione di</w:t>
      </w:r>
      <w:r>
        <w:t xml:space="preserve"> </w:t>
      </w:r>
      <w:r>
        <w:t xml:space="preserve">â€œproduttivitÃ â€.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P1 â€” Supporto decisionale:</w:t>
      </w:r>
      <w:r>
        <w:t xml:space="preserve"> </w:t>
      </w:r>
      <w:r>
        <w:t xml:space="preserve">WFM-002, dopo la conferma della formula</w:t>
      </w:r>
      <w:r>
        <w:t xml:space="preserve"> </w:t>
      </w:r>
      <w:r>
        <w:t xml:space="preserve">ore/settimana â†’ ore/giorno.</w:t>
      </w:r>
    </w:p>
    <w:bookmarkEnd w:id="131"/>
    <w:bookmarkStart w:id="132" w:name="stato-implementazione-â-2026-09-11"/>
    <w:p>
      <w:pPr>
        <w:pStyle w:val="Heading2"/>
      </w:pPr>
      <w:r>
        <w:t xml:space="preserve">Stato implementazione â€” 2026-09-11</w:t>
      </w:r>
    </w:p>
    <w:p>
      <w:pPr>
        <w:pStyle w:val="FirstParagraph"/>
      </w:pPr>
      <w:r>
        <w:t xml:space="preserve">Gli item richiesti sono stati implementati nel codice corrente: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WFM-001:</w:t>
      </w:r>
      <w:r>
        <w:t xml:space="preserve"> </w:t>
      </w:r>
      <w:r>
        <w:t xml:space="preserve">blocco server-side e disabilitazione UI sulle festivitÃ 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WFM-002:</w:t>
      </w:r>
      <w:r>
        <w:t xml:space="preserve"> </w:t>
      </w:r>
      <w:r>
        <w:t xml:space="preserve">tooltip percentuale/ore nel Calendario, con capacitÃ  su 5 giorni</w:t>
      </w:r>
      <w:r>
        <w:t xml:space="preserve"> </w:t>
      </w:r>
      <w:r>
        <w:t xml:space="preserve">lavorativi;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WFM-003:</w:t>
      </w:r>
      <w:r>
        <w:t xml:space="preserve"> </w:t>
      </w:r>
      <w:r>
        <w:t xml:space="preserve">selezione e cancellazione multipla delle Persone;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WFM-004:</w:t>
      </w:r>
      <w:r>
        <w:t xml:space="preserve"> </w:t>
      </w:r>
      <w:r>
        <w:t xml:space="preserve">filtro ricercabile multiselezione delle persone nel Calendario,</w:t>
      </w:r>
      <w:r>
        <w:t xml:space="preserve"> </w:t>
      </w:r>
      <w:r>
        <w:t xml:space="preserve">senza checkbox sulle righe;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WFM-005:</w:t>
      </w:r>
      <w:r>
        <w:t xml:space="preserve"> </w:t>
      </w:r>
      <w:r>
        <w:t xml:space="preserve">media allocazione e ore equivalenti per progetto in Dashboard;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WFM-006:</w:t>
      </w:r>
      <w:r>
        <w:t xml:space="preserve"> </w:t>
      </w:r>
      <w:r>
        <w:t xml:space="preserve">visualizzazione assenze, durata oraria opzionale e blocco</w:t>
      </w:r>
      <w:r>
        <w:t xml:space="preserve"> </w:t>
      </w:r>
      <w:r>
        <w:t xml:space="preserve">server-side delle assegnazioni su assenze approvate;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WFM-007:</w:t>
      </w:r>
      <w:r>
        <w:t xml:space="preserve"> </w:t>
      </w:r>
      <w:r>
        <w:t xml:space="preserve">filtro Staffing per tutto/settimana/mese/anno;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WFM-008:</w:t>
      </w:r>
      <w:r>
        <w:t xml:space="preserve"> </w:t>
      </w:r>
      <w:r>
        <w:t xml:space="preserve">inclusione/esclusione configurabile dei contractor dalla produttivitÃ  mensile in Dashboard e Impostazioni;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WFM-009:</w:t>
      </w:r>
      <w:r>
        <w:t xml:space="preserve"> </w:t>
      </w:r>
      <w:r>
        <w:t xml:space="preserve">visualizzazione del tipo persona (badge e tooltip</w:t>
      </w:r>
      <w:r>
        <w:t xml:space="preserve"> </w:t>
      </w:r>
      <w:r>
        <w:rPr>
          <w:rStyle w:val="VerbatimChar"/>
        </w:rPr>
        <w:t xml:space="preserve">Nome (Tipo) - Ruolo</w:t>
      </w:r>
      <w:r>
        <w:t xml:space="preserve">) nel Calendario e filtro persone arricchito;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WFM-010:</w:t>
      </w:r>
      <w:r>
        <w:t xml:space="preserve"> </w:t>
      </w:r>
      <w:r>
        <w:t xml:space="preserve">visualizzazione del codice commessa (</w:t>
      </w:r>
      <w:r>
        <w:rPr>
          <w:rStyle w:val="VerbatimChar"/>
        </w:rPr>
        <w:t xml:space="preserve">commessaId</w:t>
      </w:r>
      <w:r>
        <w:t xml:space="preserve">) nella selezione progetto per le assegnazioni nel Calendario e nel modale di assegnazione.</w:t>
      </w:r>
    </w:p>
    <w:p>
      <w:pPr>
        <w:pStyle w:val="FirstParagraph"/>
      </w:pPr>
      <w:r>
        <w:t xml:space="preserve">Le decisioni aperte sono state risolte cosÃ¬: festivitÃ  e assenze approvate</w:t>
      </w:r>
      <w:r>
        <w:t xml:space="preserve"> </w:t>
      </w:r>
      <w:r>
        <w:t xml:space="preserve">bloccano l’inserimento; â€œproduttivitÃ â€ Ã¨ rappresentata dalla media di</w:t>
      </w:r>
      <w:r>
        <w:t xml:space="preserve"> </w:t>
      </w:r>
      <w:r>
        <w:t xml:space="preserve">allocazione fino a quando non esiste un dato consuntivo; l’inclusione dei</w:t>
      </w:r>
      <w:r>
        <w:t xml:space="preserve"> </w:t>
      </w:r>
      <w:r>
        <w:t xml:space="preserve">contractor nella produttivitÃ  mensile Ã¨ configurabile sia a livello globale</w:t>
      </w:r>
      <w:r>
        <w:t xml:space="preserve"> </w:t>
      </w:r>
      <w:r>
        <w:t xml:space="preserve">che tramite switch rapido in Dashboard; la capacitÃ  giornaliera usa la</w:t>
      </w:r>
      <w:r>
        <w:t xml:space="preserve"> </w:t>
      </w:r>
      <w:r>
        <w:t xml:space="preserve">settimana lavorativa di 5 giorni; un’assenza oraria Ã¨ ammessa su una singola</w:t>
      </w:r>
      <w:r>
        <w:t xml:space="preserve"> </w:t>
      </w:r>
      <w:r>
        <w:t xml:space="preserve">giornata e, come regola prudenziale, una volta approvata blocca l’intera</w:t>
      </w:r>
      <w:r>
        <w:t xml:space="preserve"> </w:t>
      </w:r>
      <w:r>
        <w:t xml:space="preserve">giornata di staffing.</w:t>
      </w:r>
    </w:p>
    <w:bookmarkEnd w:id="132"/>
    <w:bookmarkStart w:id="133" w:name="decisioni-aperte"/>
    <w:p>
      <w:pPr>
        <w:pStyle w:val="Heading2"/>
      </w:pPr>
      <w:r>
        <w:t xml:space="preserve">Decisioni aperte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Opzioni</w:t>
            </w:r>
          </w:p>
        </w:tc>
        <w:tc>
          <w:tcPr/>
          <w:p>
            <w:pPr>
              <w:pStyle w:val="Compact"/>
            </w:pPr>
            <w:r>
              <w:t xml:space="preserve">Responsabile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t xml:space="preserve">blocco rigido / alert con conferma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ProduttivitÃ </w:t>
            </w:r>
          </w:p>
        </w:tc>
        <w:tc>
          <w:tcPr/>
          <w:p>
            <w:pPr>
              <w:pStyle w:val="Compact"/>
            </w:pPr>
            <w:r>
              <w:t xml:space="preserve">allocazione / ore allocate / consuntivo</w:t>
            </w:r>
          </w:p>
        </w:tc>
        <w:tc>
          <w:tcPr/>
          <w:p>
            <w:pPr>
              <w:pStyle w:val="Compact"/>
            </w:pPr>
            <w:r>
              <w:t xml:space="preserve">Product owner +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CapacitÃ  giornaliera</w:t>
            </w:r>
          </w:p>
        </w:tc>
        <w:tc>
          <w:tcPr/>
          <w:p>
            <w:pPr>
              <w:pStyle w:val="Compact"/>
            </w:pPr>
            <w:r>
              <w:t xml:space="preserve">ore settimanali / 5 giorni o / 7 giorni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 orarie</w:t>
            </w:r>
          </w:p>
        </w:tc>
        <w:tc>
          <w:tcPr/>
          <w:p>
            <w:pPr>
              <w:pStyle w:val="Compact"/>
            </w:pPr>
            <w:r>
              <w:t xml:space="preserve">supportare ore nel modello / solo giornate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</w:tbl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107" Target="01-funzionale.md#45-reset-amministrativo-dei-dati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12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Relationship Type="http://schemas.openxmlformats.org/officeDocument/2006/relationships/hyperlink" Id="rId116" Target="https://github.com/advisories/GHSA-gpj5-g38j-94v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</dc:title>
  <dc:creator/>
  <cp:keywords/>
  <dcterms:created xsi:type="dcterms:W3CDTF">2026-09-11T14:42:44Z</dcterms:created>
  <dcterms:modified xsi:type="dcterms:W3CDTF">2026-09-11T14:42:44Z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2026-09-11</vt:lpwstr>
  </property>
  <property fmtid="{D5CDD505-2E9C-101B-9397-08002B2CF9AE}" pid="3" name="subtitle">
    <vt:lpwstr>Documentazione funzionale, architetturale, tecnica e di sicurezza</vt:lpwstr>
  </property>
</Properties>
</file>