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SES Design System v1.0</w:t>
      </w:r>
    </w:p>
    <w:p>
      <w:r>
        <w:t>Documentación consolidada.</w:t>
      </w:r>
    </w:p>
    <w:p>
      <w:pPr>
        <w:pStyle w:val="Heading2"/>
      </w:pPr>
      <w:r>
        <w:t>03-SES-Design-System</w:t>
      </w:r>
    </w:p>
    <w:p>
      <w:r>
        <w:rPr>
          <w:sz w:val="20"/>
        </w:rPr>
      </w:r>
    </w:p>
    <w:p>
      <w:r>
        <w:rPr>
          <w:sz w:val="20"/>
        </w:rPr>
        <w:t>SES define el lenguaje visual del ERP.</w:t>
      </w:r>
    </w:p>
    <w:p>
      <w:r>
        <w:rPr>
          <w:sz w:val="20"/>
        </w:rPr>
      </w:r>
    </w:p>
    <w:p>
      <w:r>
        <w:rPr>
          <w:sz w:val="20"/>
        </w:rPr>
        <w:t>- Componentes semánticos</w:t>
      </w:r>
    </w:p>
    <w:p>
      <w:r>
        <w:rPr>
          <w:sz w:val="20"/>
        </w:rPr>
        <w:t>- Separación UI/Negocio</w:t>
      </w:r>
    </w:p>
    <w:p>
      <w:r>
        <w:rPr>
          <w:sz w:val="20"/>
        </w:rPr>
        <w:t>- Consistencia</w:t>
      </w:r>
    </w:p>
    <w:p>
      <w:r>
        <w:rPr>
          <w:sz w:val="20"/>
        </w:rPr>
        <w:t>- Responsive</w:t>
      </w:r>
    </w:p>
    <w:p>
      <w:r>
        <w:rPr>
          <w:sz w:val="20"/>
        </w:rPr>
        <w:t>- Accesibilidad</w:t>
      </w:r>
    </w:p>
    <w:p>
      <w:r>
        <w:rPr>
          <w:sz w:val="20"/>
        </w:rPr>
        <w:t>- Themes centralizados</w:t>
      </w:r>
    </w:p>
    <w:p>
      <w:r>
        <w:rPr>
          <w:sz w:val="20"/>
        </w:rPr>
        <w:t>- Sin HTML directo.</w:t>
      </w:r>
    </w:p>
    <w:p>
      <w:pPr>
        <w:pStyle w:val="Heading2"/>
      </w:pPr>
      <w:r>
        <w:t>04-SES-Components</w:t>
      </w:r>
    </w:p>
    <w:p>
      <w:r>
        <w:rPr>
          <w:sz w:val="20"/>
        </w:rPr>
      </w:r>
    </w:p>
    <w:p>
      <w:r>
        <w:rPr>
          <w:sz w:val="20"/>
        </w:rPr>
        <w:t>forms: SESControl, SESField, SESInput, SESNumberInput, SESDatePicker, SESSelect, SESCheckbox, SESSearchBox, SESToggleGroup.</w:t>
      </w:r>
    </w:p>
    <w:p>
      <w:r>
        <w:rPr>
          <w:sz w:val="20"/>
        </w:rPr>
      </w:r>
    </w:p>
    <w:p>
      <w:r>
        <w:rPr>
          <w:sz w:val="20"/>
        </w:rPr>
        <w:t>actions: SESButton, SESIconButton, SESButtonGroup.</w:t>
      </w:r>
    </w:p>
    <w:p>
      <w:r>
        <w:rPr>
          <w:sz w:val="20"/>
        </w:rPr>
      </w:r>
    </w:p>
    <w:p>
      <w:r>
        <w:rPr>
          <w:sz w:val="20"/>
        </w:rPr>
        <w:t>layout: SESPage, SESLayout, SESWorkspace, SESSection, SESFormRow, SESActionBar, SESToolbar, SESTopBar.</w:t>
      </w:r>
    </w:p>
    <w:p>
      <w:r>
        <w:rPr>
          <w:sz w:val="20"/>
        </w:rPr>
      </w:r>
    </w:p>
    <w:p>
      <w:r>
        <w:rPr>
          <w:sz w:val="20"/>
        </w:rPr>
        <w:t>data: SESTable.</w:t>
      </w:r>
    </w:p>
    <w:p>
      <w:r>
        <w:rPr>
          <w:sz w:val="20"/>
        </w:rPr>
      </w:r>
    </w:p>
    <w:p>
      <w:r>
        <w:rPr>
          <w:sz w:val="20"/>
        </w:rPr>
        <w:t>summary: SESSummary.</w:t>
      </w:r>
    </w:p>
    <w:p>
      <w:r>
        <w:rPr>
          <w:sz w:val="20"/>
        </w:rPr>
      </w:r>
    </w:p>
    <w:p>
      <w:r>
        <w:rPr>
          <w:sz w:val="20"/>
        </w:rPr>
        <w:t>feedback: SESBadge, SESBadgeGroup.</w:t>
      </w:r>
    </w:p>
    <w:p>
      <w:pPr>
        <w:pStyle w:val="Heading2"/>
      </w:pPr>
      <w:r>
        <w:t>05-SES-CodeStyle</w:t>
      </w:r>
    </w:p>
    <w:p>
      <w:r>
        <w:rPr>
          <w:sz w:val="20"/>
        </w:rPr>
      </w:r>
    </w:p>
    <w:p>
      <w:r>
        <w:rPr>
          <w:sz w:val="20"/>
        </w:rPr>
        <w:t>- No HTML directo en pantallas.</w:t>
      </w:r>
    </w:p>
    <w:p>
      <w:r>
        <w:rPr>
          <w:sz w:val="20"/>
        </w:rPr>
        <w:t>- SESPage→SESWorkspace→SESSection.</w:t>
      </w:r>
    </w:p>
    <w:p>
      <w:r>
        <w:rPr>
          <w:sz w:val="20"/>
        </w:rPr>
        <w:t>- Formularios: SESFormRow→SESField→SESControl.</w:t>
      </w:r>
    </w:p>
    <w:p>
      <w:r>
        <w:rPr>
          <w:sz w:val="20"/>
        </w:rPr>
        <w:t>- SESToolbar para acciones de sección.</w:t>
      </w:r>
    </w:p>
    <w:p>
      <w:r>
        <w:rPr>
          <w:sz w:val="20"/>
        </w:rPr>
        <w:t>- SESActionBar para acciones finales.</w:t>
      </w:r>
    </w:p>
    <w:p>
      <w:pPr>
        <w:pStyle w:val="Heading2"/>
      </w:pPr>
      <w:r>
        <w:t>06-SES-Architecture</w:t>
      </w:r>
    </w:p>
    <w:p>
      <w:r>
        <w:rPr>
          <w:sz w:val="20"/>
        </w:rPr>
      </w:r>
    </w:p>
    <w:p>
      <w:r>
        <w:rPr>
          <w:sz w:val="20"/>
        </w:rPr>
        <w:t>actions/</w:t>
      </w:r>
    </w:p>
    <w:p>
      <w:r>
        <w:rPr>
          <w:sz w:val="20"/>
        </w:rPr>
        <w:t>data/</w:t>
      </w:r>
    </w:p>
    <w:p>
      <w:r>
        <w:rPr>
          <w:sz w:val="20"/>
        </w:rPr>
        <w:t>feedback/</w:t>
      </w:r>
    </w:p>
    <w:p>
      <w:r>
        <w:rPr>
          <w:sz w:val="20"/>
        </w:rPr>
        <w:t>forms/</w:t>
      </w:r>
    </w:p>
    <w:p>
      <w:r>
        <w:rPr>
          <w:sz w:val="20"/>
        </w:rPr>
        <w:t>foundation/</w:t>
      </w:r>
    </w:p>
    <w:p>
      <w:r>
        <w:rPr>
          <w:sz w:val="20"/>
        </w:rPr>
        <w:t>layout/</w:t>
      </w:r>
    </w:p>
    <w:p>
      <w:r>
        <w:rPr>
          <w:sz w:val="20"/>
        </w:rPr>
        <w:t>navigation/</w:t>
      </w:r>
    </w:p>
    <w:p>
      <w:r>
        <w:rPr>
          <w:sz w:val="20"/>
        </w:rPr>
        <w:t>summary/</w:t>
      </w:r>
    </w:p>
    <w:p>
      <w:pPr>
        <w:pStyle w:val="Heading2"/>
      </w:pPr>
      <w:r>
        <w:t>07-SES-Theming</w:t>
      </w:r>
    </w:p>
    <w:p>
      <w:r>
        <w:rPr>
          <w:sz w:val="20"/>
        </w:rPr>
      </w:r>
    </w:p>
    <w:p>
      <w:r>
        <w:rPr>
          <w:sz w:val="20"/>
        </w:rPr>
        <w:t>Los componentes consumirán tokens desde foundation/themes (colors, spacing, radius, typography, shadows y themeManager).</w:t>
      </w:r>
    </w:p>
    <w:p>
      <w:pPr>
        <w:pStyle w:val="Heading2"/>
      </w:pPr>
      <w:r>
        <w:t>08-SES-Migration-Guide</w:t>
      </w:r>
    </w:p>
    <w:p>
      <w:r>
        <w:rPr>
          <w:sz w:val="20"/>
        </w:rPr>
      </w:r>
    </w:p>
    <w:p>
      <w:r>
        <w:rPr>
          <w:sz w:val="20"/>
        </w:rPr>
        <w:t>Migrar únicamente la UI.</w:t>
      </w:r>
    </w:p>
    <w:p>
      <w:r>
        <w:rPr>
          <w:sz w:val="20"/>
        </w:rPr>
        <w:t>Orden: Workspace, Section, Toolbar, Forms, Table, Summary y ActionBar.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