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eastAsia="Calibri"/>
          <w:b/>
          <w:color w:val="1F4E79"/>
          <w:sz w:val="28"/>
        </w:rPr>
        <w:t>SES Compras</w:t>
      </w:r>
    </w:p>
    <w:p>
      <w:pPr>
        <w:spacing w:before="240" w:after="720"/>
        <w:jc w:val="center"/>
      </w:pPr>
      <w:r>
        <w:rPr>
          <w:rFonts w:ascii="Calibri" w:hAnsi="Calibri" w:eastAsia="Calibri"/>
          <w:b/>
          <w:color w:val="1F2937"/>
          <w:sz w:val="40"/>
        </w:rPr>
        <w:t>Consolidación del Frontend v1</w:t>
      </w:r>
    </w:p>
    <w:p>
      <w:pPr>
        <w:spacing w:after="60"/>
        <w:jc w:val="center"/>
      </w:pPr>
      <w:r>
        <w:rPr>
          <w:rFonts w:ascii="Calibri" w:hAnsi="Calibri" w:eastAsia="Calibri"/>
          <w:b/>
          <w:color w:val="5A6370"/>
          <w:sz w:val="22"/>
        </w:rPr>
        <w:t xml:space="preserve">Versión: </w:t>
      </w:r>
      <w:r>
        <w:rPr>
          <w:rFonts w:ascii="Calibri" w:hAnsi="Calibri" w:eastAsia="Calibri"/>
          <w:color w:val="1F2937"/>
          <w:sz w:val="22"/>
        </w:rPr>
        <w:t>Compras v1.1.0</w:t>
      </w:r>
    </w:p>
    <w:p>
      <w:pPr>
        <w:spacing w:after="60"/>
        <w:jc w:val="center"/>
      </w:pPr>
      <w:r>
        <w:rPr>
          <w:rFonts w:ascii="Calibri" w:hAnsi="Calibri" w:eastAsia="Calibri"/>
          <w:b/>
          <w:color w:val="5A6370"/>
          <w:sz w:val="22"/>
        </w:rPr>
        <w:t xml:space="preserve">Estado: </w:t>
      </w:r>
      <w:r>
        <w:rPr>
          <w:rFonts w:ascii="Calibri" w:hAnsi="Calibri" w:eastAsia="Calibri"/>
          <w:color w:val="1F2937"/>
          <w:sz w:val="22"/>
        </w:rPr>
        <w:t>Arquitectura estabilizada</w:t>
      </w:r>
    </w:p>
    <w:p>
      <w:pPr>
        <w:spacing w:after="60"/>
        <w:jc w:val="center"/>
      </w:pPr>
      <w:r>
        <w:rPr>
          <w:rFonts w:ascii="Calibri" w:hAnsi="Calibri" w:eastAsia="Calibri"/>
          <w:b/>
          <w:color w:val="5A6370"/>
          <w:sz w:val="22"/>
        </w:rPr>
        <w:t xml:space="preserve">Fecha: </w:t>
      </w:r>
      <w:r>
        <w:rPr>
          <w:rFonts w:ascii="Calibri" w:hAnsi="Calibri" w:eastAsia="Calibri"/>
          <w:color w:val="1F2937"/>
          <w:sz w:val="22"/>
        </w:rPr>
        <w:t>18/07/2026</w:t>
      </w:r>
    </w:p>
    <w:p>
      <w:pPr>
        <w:spacing w:after="60"/>
        <w:jc w:val="center"/>
      </w:pPr>
      <w:r>
        <w:rPr>
          <w:rFonts w:ascii="Calibri" w:hAnsi="Calibri" w:eastAsia="Calibri"/>
          <w:b/>
          <w:color w:val="5A6370"/>
          <w:sz w:val="22"/>
        </w:rPr>
        <w:t xml:space="preserve">Autor: </w:t>
      </w:r>
      <w:r>
        <w:rPr>
          <w:rFonts w:ascii="Calibri" w:hAnsi="Calibri" w:eastAsia="Calibri"/>
          <w:color w:val="1F2937"/>
          <w:sz w:val="22"/>
        </w:rPr>
        <w:t>SES ERP</w:t>
      </w:r>
    </w:p>
    <w:p>
      <w:pPr>
        <w:spacing w:before="480"/>
        <w:jc w:val="center"/>
      </w:pPr>
      <w:r>
        <w:rPr>
          <w:rFonts w:ascii="Calibri" w:hAnsi="Calibri" w:eastAsia="Calibri"/>
          <w:i/>
          <w:color w:val="5A6370"/>
          <w:sz w:val="20"/>
        </w:rPr>
        <w:t>Consolidación estructural finalizada; mejoras incrementales pendientes</w:t>
      </w:r>
    </w:p>
    <w:p>
      <w:pPr>
        <w:jc w:val="center"/>
      </w:pPr>
      <w:r>
        <w:rPr>
          <w:rFonts w:ascii="Calibri" w:hAnsi="Calibri" w:eastAsia="Calibri"/>
          <w:color w:val="5A6370"/>
          <w:sz w:val="20"/>
        </w:rPr>
        <w:t>Alcance: NuevoComprobante y componentes asociados del frontend de SES Compras</w:t>
      </w:r>
    </w:p>
    <w:p>
      <w:r>
        <w:br w:type="page"/>
      </w:r>
    </w:p>
    <w:p>
      <w:pPr>
        <w:spacing w:after="360"/>
        <w:jc w:val="center"/>
      </w:pPr>
      <w:r>
        <w:rPr>
          <w:rFonts w:ascii="Calibri" w:hAnsi="Calibri" w:eastAsia="Calibri"/>
          <w:b/>
          <w:color w:val="1F2937"/>
          <w:sz w:val="40"/>
        </w:rPr>
        <w:t>Índice</w:t>
      </w:r>
    </w:p>
    <w:p>
      <w:r>
        <w:rPr>
          <w:rFonts w:ascii="Calibri" w:hAnsi="Calibri" w:eastAsia="Calibri"/>
          <w:i/>
          <w:color w:val="5A6370"/>
          <w:sz w:val="20"/>
        </w:rPr>
        <w:fldChar w:fldCharType="begin" w:dirty="true"/>
        <w:instrText xml:space="preserve"> TOC \o "1-3" \h \z \u </w:instrText>
        <w:fldChar w:fldCharType="separate"/>
        <w:t>Actualice el índice en Word con Ctrl+A y F9.</w:t>
        <w:fldChar w:fldCharType="end"/>
      </w:r>
    </w:p>
    <w:p>
      <w:pPr>
        <w:pStyle w:val="Heading1"/>
        <w:pageBreakBefore/>
      </w:pPr>
      <w:r>
        <w:rPr>
          <w:rFonts w:ascii="Calibri" w:hAnsi="Calibri" w:eastAsia="Calibri"/>
          <w:color w:val="1F2937"/>
          <w:sz w:val="32"/>
        </w:rPr>
        <w:t>1. Propósito y alcance</w:t>
      </w:r>
    </w:p>
    <w:p>
      <w:pPr>
        <w:jc w:val="both"/>
      </w:pPr>
      <w:r>
        <w:rPr>
          <w:rFonts w:ascii="Calibri" w:hAnsi="Calibri" w:eastAsia="Calibri"/>
          <w:color w:val="1F2937"/>
          <w:sz w:val="22"/>
        </w:rPr>
        <w:t>Este documento registra la arquitectura resultante de la consolidación del frontend v1 de SES Compras. El trabajo ordenó el flujo de alta de comprobantes, especializó las experiencias de Facturas y Remitos, centralizó decisiones por categoría y agregó infraestructura común de Feedback.</w:t>
      </w:r>
    </w:p>
    <w:p>
      <w:pPr>
        <w:jc w:val="both"/>
      </w:pPr>
      <w:r>
        <w:rPr>
          <w:rFonts w:ascii="Calibri" w:hAnsi="Calibri" w:eastAsia="Calibri"/>
          <w:color w:val="1F2937"/>
          <w:sz w:val="22"/>
        </w:rPr>
        <w:t>La consolidación fue necesaria porque la incorporación progresiva de categorías, reglas fiscales y Remitos había distribuido condiciones funcionales entre el render, la validación y la persistencia. El objetivo no fue reducir líneas de código como fin en sí mismo, sino hacer visibles las responsabilidades y establecer límites mantenibles.</w:t>
      </w:r>
    </w:p>
    <w:p>
      <w:pPr>
        <w:jc w:val="both"/>
      </w:pPr>
      <w:r>
        <w:rPr>
          <w:rFonts w:ascii="Consolas" w:hAnsi="Consolas" w:eastAsia="Consolas"/>
          <w:color w:val="1F2937"/>
          <w:sz w:val="20"/>
        </w:rPr>
        <w:t>NuevoComprobante</w:t>
      </w:r>
      <w:r>
        <w:rPr>
          <w:rFonts w:ascii="Calibri" w:hAnsi="Calibri" w:eastAsia="Calibri"/>
          <w:color w:val="1F2937"/>
          <w:sz w:val="22"/>
        </w:rPr>
        <w:t xml:space="preserve"> se considera una arquitectura estabilizada y preparada para evolución incremental. Esto significa que deja de estar en refactor estructural permanente, no que sea inmutable. Nuevos tipos documentales o reglas pueden incorporarse respetando la composición, la configuración y los puntos de extensión existentes.</w:t>
      </w:r>
    </w:p>
    <w:p>
      <w:pPr>
        <w:jc w:val="both"/>
      </w:pPr>
      <w:r>
        <w:rPr>
          <w:rFonts w:ascii="Calibri" w:hAnsi="Calibri" w:eastAsia="Calibri"/>
          <w:color w:val="1F2937"/>
          <w:sz w:val="22"/>
        </w:rPr>
        <w:t xml:space="preserve">El alcance cubre el formulario de nuevo comprobante, sus secciones, los modos de ingreso, la validación previa, los flujos frontend de persistencia, Remitos y los componentes </w:t>
      </w:r>
      <w:r>
        <w:rPr>
          <w:rFonts w:ascii="Consolas" w:hAnsi="Consolas" w:eastAsia="Consolas"/>
          <w:color w:val="1F2937"/>
          <w:sz w:val="20"/>
        </w:rPr>
        <w:t>SESToast</w:t>
      </w:r>
      <w:r>
        <w:rPr>
          <w:rFonts w:ascii="Calibri" w:hAnsi="Calibri" w:eastAsia="Calibri"/>
          <w:color w:val="1F2937"/>
          <w:sz w:val="22"/>
        </w:rPr>
        <w:t xml:space="preserve"> y </w:t>
      </w:r>
      <w:r>
        <w:rPr>
          <w:rFonts w:ascii="Consolas" w:hAnsi="Consolas" w:eastAsia="Consolas"/>
          <w:color w:val="1F2937"/>
          <w:sz w:val="20"/>
        </w:rPr>
        <w:t>SESConfirmDialog</w:t>
      </w:r>
      <w:r>
        <w:rPr>
          <w:rFonts w:ascii="Calibri" w:hAnsi="Calibri" w:eastAsia="Calibri"/>
          <w:color w:val="1F2937"/>
          <w:sz w:val="22"/>
        </w:rPr>
        <w:t>. Quedan fuera la arquitectura interna del backend, el modelo PostgreSQL, la implementación WinDev/HFSQL, los módulos futuros y la documentación de despliegue.</w:t>
      </w:r>
    </w:p>
    <w:p>
      <w:pPr>
        <w:pStyle w:val="Heading1"/>
      </w:pPr>
      <w:r>
        <w:rPr>
          <w:rFonts w:ascii="Calibri" w:hAnsi="Calibri" w:eastAsia="Calibri"/>
          <w:color w:val="1F2937"/>
          <w:sz w:val="32"/>
        </w:rPr>
        <w:t>2. Contexto arquitectónico</w:t>
      </w:r>
    </w:p>
    <w:p>
      <w:pPr>
        <w:jc w:val="both"/>
      </w:pPr>
      <w:r>
        <w:rPr>
          <w:rFonts w:ascii="Calibri" w:hAnsi="Calibri" w:eastAsia="Calibri"/>
          <w:color w:val="1F2937"/>
          <w:sz w:val="22"/>
        </w:rPr>
        <w:t>El frontend utiliza React sobre Vite, Tailwind CSS y un Design System propio denominado SES. React mantiene el estado y compone las vistas; Vite resuelve desarrollo y build; Tailwind aporta las primitivas visuales; los componentes SES normalizan formularios, acciones, layout y feedback.</w:t>
      </w:r>
    </w:p>
    <w:p>
      <w:pPr>
        <w:jc w:val="both"/>
      </w:pPr>
      <w:r>
        <w:rPr>
          <w:rFonts w:ascii="Calibri" w:hAnsi="Calibri" w:eastAsia="Calibri"/>
          <w:color w:val="1F2937"/>
          <w:sz w:val="22"/>
        </w:rPr>
        <w:t>La comunicación funcional sigue esta frontera:</w:t>
      </w:r>
    </w:p>
    <w:p>
      <w:pPr>
        <w:spacing w:before="80" w:after="120" w:line="240" w:lineRule="auto"/>
        <w:ind w:left="227" w:right="227"/>
        <w:shd w:fill="F2F4F7"/>
      </w:pPr>
      <w:r>
        <w:rPr>
          <w:rFonts w:ascii="Consolas" w:hAnsi="Consolas" w:eastAsia="Consolas"/>
          <w:color w:val="1F2937"/>
          <w:sz w:val="20"/>
        </w:rPr>
        <w:t>Frontend React</w:t>
      </w:r>
      <w:r>
        <w:br/>
      </w:r>
      <w:r>
        <w:rPr>
          <w:rFonts w:ascii="Consolas" w:hAnsi="Consolas" w:eastAsia="Consolas"/>
          <w:color w:val="1F2937"/>
          <w:sz w:val="20"/>
        </w:rPr>
        <w:t xml:space="preserve">    ↓ HTTP/JSON</w:t>
      </w:r>
      <w:r>
        <w:br/>
      </w:r>
      <w:r>
        <w:rPr>
          <w:rFonts w:ascii="Consolas" w:hAnsi="Consolas" w:eastAsia="Consolas"/>
          <w:color w:val="1F2937"/>
          <w:sz w:val="20"/>
        </w:rPr>
        <w:t>Backend Node/Express</w:t>
      </w:r>
      <w:r>
        <w:br/>
      </w:r>
      <w:r>
        <w:rPr>
          <w:rFonts w:ascii="Consolas" w:hAnsi="Consolas" w:eastAsia="Consolas"/>
          <w:color w:val="1F2937"/>
          <w:sz w:val="20"/>
        </w:rPr>
        <w:t xml:space="preserve">    ↓ cuando corresponde</w:t>
      </w:r>
      <w:r>
        <w:br/>
      </w:r>
      <w:r>
        <w:rPr>
          <w:rFonts w:ascii="Consolas" w:hAnsi="Consolas" w:eastAsia="Consolas"/>
          <w:color w:val="1F2937"/>
          <w:sz w:val="20"/>
        </w:rPr>
        <w:t>WinDev / HFSQL</w:t>
      </w:r>
    </w:p>
    <w:p>
      <w:pPr>
        <w:jc w:val="both"/>
      </w:pPr>
      <w:r>
        <w:rPr>
          <w:rFonts w:ascii="Calibri" w:hAnsi="Calibri" w:eastAsia="Calibri"/>
          <w:color w:val="1F2937"/>
          <w:sz w:val="22"/>
        </w:rPr>
        <w:t xml:space="preserve">El frontend no accede directamente a WinDev ni a HFSQL. Consume el backend Node mediante una base configurada por </w:t>
      </w:r>
      <w:r>
        <w:rPr>
          <w:rFonts w:ascii="Consolas" w:hAnsi="Consolas" w:eastAsia="Consolas"/>
          <w:color w:val="1F2937"/>
          <w:sz w:val="20"/>
        </w:rPr>
        <w:t>VITE_API_URL</w:t>
      </w:r>
      <w:r>
        <w:rPr>
          <w:rFonts w:ascii="Calibri" w:hAnsi="Calibri" w:eastAsia="Calibri"/>
          <w:color w:val="1F2937"/>
          <w:sz w:val="22"/>
        </w:rPr>
        <w:t xml:space="preserve">, con fallback local a </w:t>
      </w:r>
      <w:r>
        <w:rPr>
          <w:rFonts w:ascii="Consolas" w:hAnsi="Consolas" w:eastAsia="Consolas"/>
          <w:color w:val="1F2937"/>
          <w:sz w:val="20"/>
        </w:rPr>
        <w:t>http://localhost:3000/api</w:t>
      </w:r>
      <w:r>
        <w:rPr>
          <w:rFonts w:ascii="Calibri" w:hAnsi="Calibri" w:eastAsia="Calibri"/>
          <w:color w:val="1F2937"/>
          <w:sz w:val="22"/>
        </w:rPr>
        <w:t>. Las reglas de persistencia, idempotencia e integración externa permanecen detrás de esa API.</w:t>
      </w:r>
    </w:p>
    <w:p>
      <w:pPr>
        <w:pStyle w:val="Heading1"/>
        <w:pageBreakBefore/>
      </w:pPr>
      <w:r>
        <w:rPr>
          <w:rFonts w:ascii="Calibri" w:hAnsi="Calibri" w:eastAsia="Calibri"/>
          <w:color w:val="1F2937"/>
          <w:sz w:val="32"/>
        </w:rPr>
        <w:t>3. Arquitectura final de NuevoComprobante</w:t>
      </w:r>
    </w:p>
    <w:p>
      <w:pPr>
        <w:jc w:val="both"/>
      </w:pPr>
      <w:r>
        <w:rPr>
          <w:rFonts w:ascii="Calibri" w:hAnsi="Calibri" w:eastAsia="Calibri"/>
          <w:color w:val="1F2937"/>
          <w:sz w:val="22"/>
        </w:rPr>
        <w:t>La composición principal es:</w:t>
      </w:r>
    </w:p>
    <w:p>
      <w:pPr>
        <w:spacing w:before="80" w:after="120" w:line="240" w:lineRule="auto"/>
        <w:ind w:left="227" w:right="227"/>
        <w:shd w:fill="F2F4F7"/>
      </w:pPr>
      <w:r>
        <w:rPr>
          <w:rFonts w:ascii="Consolas" w:hAnsi="Consolas" w:eastAsia="Consolas"/>
          <w:color w:val="1F2937"/>
          <w:sz w:val="20"/>
        </w:rPr>
        <w:t>NuevoComprobante</w:t>
      </w:r>
      <w:r>
        <w:br/>
      </w:r>
      <w:r>
        <w:rPr>
          <w:rFonts w:ascii="Consolas" w:hAnsi="Consolas" w:eastAsia="Consolas"/>
          <w:color w:val="1F2937"/>
          <w:sz w:val="20"/>
        </w:rPr>
        <w:t>├── SESComprobanteSection</w:t>
      </w:r>
      <w:r>
        <w:br/>
      </w:r>
      <w:r>
        <w:rPr>
          <w:rFonts w:ascii="Consolas" w:hAnsi="Consolas" w:eastAsia="Consolas"/>
          <w:color w:val="1F2937"/>
          <w:sz w:val="20"/>
        </w:rPr>
        <w:t>│   └── SESProveedorSection</w:t>
      </w:r>
      <w:r>
        <w:br/>
      </w:r>
      <w:r>
        <w:rPr>
          <w:rFonts w:ascii="Consolas" w:hAnsi="Consolas" w:eastAsia="Consolas"/>
          <w:color w:val="1F2937"/>
          <w:sz w:val="20"/>
        </w:rPr>
        <w:t>├── SESItemsSection</w:t>
      </w:r>
      <w:r>
        <w:br/>
      </w:r>
      <w:r>
        <w:rPr>
          <w:rFonts w:ascii="Consolas" w:hAnsi="Consolas" w:eastAsia="Consolas"/>
          <w:color w:val="1F2937"/>
          <w:sz w:val="20"/>
        </w:rPr>
        <w:t>│   ├── SESItemsFactura</w:t>
      </w:r>
      <w:r>
        <w:br/>
      </w:r>
      <w:r>
        <w:rPr>
          <w:rFonts w:ascii="Consolas" w:hAnsi="Consolas" w:eastAsia="Consolas"/>
          <w:color w:val="1F2937"/>
          <w:sz w:val="20"/>
        </w:rPr>
        <w:t>│   └── SESItemsRemito</w:t>
      </w:r>
      <w:r>
        <w:br/>
      </w:r>
      <w:r>
        <w:rPr>
          <w:rFonts w:ascii="Consolas" w:hAnsi="Consolas" w:eastAsia="Consolas"/>
          <w:color w:val="1F2937"/>
          <w:sz w:val="20"/>
        </w:rPr>
        <w:t>├── SESResumenSection</w:t>
      </w:r>
      <w:r>
        <w:br/>
      </w:r>
      <w:r>
        <w:rPr>
          <w:rFonts w:ascii="Consolas" w:hAnsi="Consolas" w:eastAsia="Consolas"/>
          <w:color w:val="1F2937"/>
          <w:sz w:val="20"/>
        </w:rPr>
        <w:t>└── SESFooterActions</w:t>
      </w:r>
      <w:r>
        <w:br/>
      </w:r>
      <w:r>
        <w:rPr>
          <w:rFonts w:ascii="Consolas" w:hAnsi="Consolas" w:eastAsia="Consolas"/>
          <w:color w:val="1F2937"/>
          <w:sz w:val="20"/>
        </w:rPr>
        <w:t xml:space="preserve">    └── SESConfirmDialog</w:t>
      </w:r>
    </w:p>
    <w:p>
      <w:pPr>
        <w:jc w:val="both"/>
      </w:pPr>
      <w:r>
        <w:rPr>
          <w:rFonts w:ascii="Calibri" w:hAnsi="Calibri" w:eastAsia="Calibri"/>
          <w:color w:val="1F2937"/>
          <w:sz w:val="22"/>
        </w:rPr>
        <w:t xml:space="preserve">En el JSX real, </w:t>
      </w:r>
      <w:r>
        <w:rPr>
          <w:rFonts w:ascii="Consolas" w:hAnsi="Consolas" w:eastAsia="Consolas"/>
          <w:color w:val="1F2937"/>
          <w:sz w:val="20"/>
        </w:rPr>
        <w:t>SESProveedorSection</w:t>
      </w:r>
      <w:r>
        <w:rPr>
          <w:rFonts w:ascii="Calibri" w:hAnsi="Calibri" w:eastAsia="Calibri"/>
          <w:color w:val="1F2937"/>
          <w:sz w:val="22"/>
        </w:rPr>
        <w:t xml:space="preserve"> se renderiza dentro de la sección documental después de que existe un tipo aplicable. La representación anterior expresa responsabilidades, no obliga a que cada nodo sea un contenedor DOM independiente.</w:t>
      </w:r>
    </w:p>
    <w:p>
      <w:pPr>
        <w:jc w:val="both"/>
      </w:pPr>
      <w:r>
        <w:rPr>
          <w:rFonts w:ascii="Consolas" w:hAnsi="Consolas" w:eastAsia="Consolas"/>
          <w:color w:val="1F2937"/>
          <w:sz w:val="20"/>
        </w:rPr>
        <w:t>NuevoComprobante</w:t>
      </w:r>
      <w:r>
        <w:rPr>
          <w:rFonts w:ascii="Calibri" w:hAnsi="Calibri" w:eastAsia="Calibri"/>
          <w:color w:val="1F2937"/>
          <w:sz w:val="22"/>
        </w:rPr>
        <w:t xml:space="preserve"> es el orquestador. Conserva intencionalmente el estado principal, los maestros obtenidos desde la API, los cálculos, las validaciones, la construcción de payloads y la selección del endpoint. También deriva la configuración activa y decide qué secciones montar. Es el punto de composición visual mediante </w:t>
      </w:r>
      <w:r>
        <w:rPr>
          <w:rFonts w:ascii="Consolas" w:hAnsi="Consolas" w:eastAsia="Consolas"/>
          <w:color w:val="1F2937"/>
          <w:sz w:val="20"/>
        </w:rPr>
        <w:t>SESWorkspace</w:t>
      </w:r>
      <w:r>
        <w:rPr>
          <w:rFonts w:ascii="Calibri" w:hAnsi="Calibri" w:eastAsia="Calibri"/>
          <w:color w:val="1F2937"/>
          <w:sz w:val="22"/>
        </w:rPr>
        <w:t xml:space="preserve"> y </w:t>
      </w:r>
      <w:r>
        <w:rPr>
          <w:rFonts w:ascii="Consolas" w:hAnsi="Consolas" w:eastAsia="Consolas"/>
          <w:color w:val="1F2937"/>
          <w:sz w:val="20"/>
        </w:rPr>
        <w:t>SESSection</w:t>
      </w:r>
      <w:r>
        <w:rPr>
          <w:rFonts w:ascii="Calibri" w:hAnsi="Calibri" w:eastAsia="Calibri"/>
          <w:color w:val="1F2937"/>
          <w:sz w:val="22"/>
        </w:rPr>
        <w:t>.</w:t>
      </w:r>
    </w:p>
    <w:p>
      <w:pPr>
        <w:jc w:val="both"/>
      </w:pPr>
      <w:r>
        <w:rPr>
          <w:rFonts w:ascii="Consolas" w:hAnsi="Consolas" w:eastAsia="Consolas"/>
          <w:color w:val="1F2937"/>
          <w:sz w:val="20"/>
        </w:rPr>
        <w:t>SESComprobanteSection</w:t>
      </w:r>
      <w:r>
        <w:rPr>
          <w:rFonts w:ascii="Calibri" w:hAnsi="Calibri" w:eastAsia="Calibri"/>
          <w:color w:val="1F2937"/>
          <w:sz w:val="22"/>
        </w:rPr>
        <w:t xml:space="preserve"> captura categoría, letra o tipo, numeración, fecha de emisión, vencimiento y período fiscal cuando aplican. </w:t>
      </w:r>
      <w:r>
        <w:rPr>
          <w:rFonts w:ascii="Consolas" w:hAnsi="Consolas" w:eastAsia="Consolas"/>
          <w:color w:val="1F2937"/>
          <w:sz w:val="20"/>
        </w:rPr>
        <w:t>SESProveedorSection</w:t>
      </w:r>
      <w:r>
        <w:rPr>
          <w:rFonts w:ascii="Calibri" w:hAnsi="Calibri" w:eastAsia="Calibri"/>
          <w:color w:val="1F2937"/>
          <w:sz w:val="22"/>
        </w:rPr>
        <w:t xml:space="preserve"> selecciona el proveedor y presenta CUIT y condición de IVA asociados.</w:t>
      </w:r>
    </w:p>
    <w:p>
      <w:pPr>
        <w:jc w:val="both"/>
      </w:pPr>
      <w:r>
        <w:rPr>
          <w:rFonts w:ascii="Consolas" w:hAnsi="Consolas" w:eastAsia="Consolas"/>
          <w:color w:val="1F2937"/>
          <w:sz w:val="20"/>
        </w:rPr>
        <w:t>SESItemsSection</w:t>
      </w:r>
      <w:r>
        <w:rPr>
          <w:rFonts w:ascii="Calibri" w:hAnsi="Calibri" w:eastAsia="Calibri"/>
          <w:color w:val="1F2937"/>
          <w:sz w:val="22"/>
        </w:rPr>
        <w:t xml:space="preserve"> es un selector mínimo: monta una sola vista según </w:t>
      </w:r>
      <w:r>
        <w:rPr>
          <w:rFonts w:ascii="Consolas" w:hAnsi="Consolas" w:eastAsia="Consolas"/>
          <w:color w:val="1F2937"/>
          <w:sz w:val="20"/>
        </w:rPr>
        <w:t>esRemito</w:t>
      </w:r>
      <w:r>
        <w:rPr>
          <w:rFonts w:ascii="Calibri" w:hAnsi="Calibri" w:eastAsia="Calibri"/>
          <w:color w:val="1F2937"/>
          <w:sz w:val="22"/>
        </w:rPr>
        <w:t xml:space="preserve">. </w:t>
      </w:r>
      <w:r>
        <w:rPr>
          <w:rFonts w:ascii="Consolas" w:hAnsi="Consolas" w:eastAsia="Consolas"/>
          <w:color w:val="1F2937"/>
          <w:sz w:val="20"/>
        </w:rPr>
        <w:t>SESItemsFactura</w:t>
      </w:r>
      <w:r>
        <w:rPr>
          <w:rFonts w:ascii="Calibri" w:hAnsi="Calibri" w:eastAsia="Calibri"/>
          <w:color w:val="1F2937"/>
          <w:sz w:val="22"/>
        </w:rPr>
        <w:t xml:space="preserve"> presenta el ingreso valorizado y fiscal; </w:t>
      </w:r>
      <w:r>
        <w:rPr>
          <w:rFonts w:ascii="Consolas" w:hAnsi="Consolas" w:eastAsia="Consolas"/>
          <w:color w:val="1F2937"/>
          <w:sz w:val="20"/>
        </w:rPr>
        <w:t>SESItemsRemito</w:t>
      </w:r>
      <w:r>
        <w:rPr>
          <w:rFonts w:ascii="Calibri" w:hAnsi="Calibri" w:eastAsia="Calibri"/>
          <w:color w:val="1F2937"/>
          <w:sz w:val="22"/>
        </w:rPr>
        <w:t xml:space="preserve"> presenta mercadería recibida. </w:t>
      </w:r>
      <w:r>
        <w:rPr>
          <w:rFonts w:ascii="Consolas" w:hAnsi="Consolas" w:eastAsia="Consolas"/>
          <w:color w:val="1F2937"/>
          <w:sz w:val="20"/>
        </w:rPr>
        <w:t>SESResumenSection</w:t>
      </w:r>
      <w:r>
        <w:rPr>
          <w:rFonts w:ascii="Calibri" w:hAnsi="Calibri" w:eastAsia="Calibri"/>
          <w:color w:val="1F2937"/>
          <w:sz w:val="22"/>
        </w:rPr>
        <w:t xml:space="preserve"> muestra el resumen fiscal de comprobantes o, en Remitos, la recepción con sucursal y depósito. </w:t>
      </w:r>
      <w:r>
        <w:rPr>
          <w:rFonts w:ascii="Consolas" w:hAnsi="Consolas" w:eastAsia="Consolas"/>
          <w:color w:val="1F2937"/>
          <w:sz w:val="20"/>
        </w:rPr>
        <w:t>SESFooterActions</w:t>
      </w:r>
      <w:r>
        <w:rPr>
          <w:rFonts w:ascii="Calibri" w:hAnsi="Calibri" w:eastAsia="Calibri"/>
          <w:color w:val="1F2937"/>
          <w:sz w:val="22"/>
        </w:rPr>
        <w:t xml:space="preserve"> concentra las acciones Confirmar y Cancelar y es propietario visual del diálogo de cancelación.</w:t>
      </w:r>
    </w:p>
    <w:p>
      <w:pPr>
        <w:jc w:val="both"/>
      </w:pPr>
      <w:r>
        <w:rPr>
          <w:rFonts w:ascii="Calibri" w:hAnsi="Calibri" w:eastAsia="Calibri"/>
          <w:color w:val="1F2937"/>
          <w:sz w:val="22"/>
        </w:rPr>
        <w:t>Las responsabilidades extraídas son principalmente captura, presentación y decisión visual. El estado y las reglas transversales no se trasladaron indiscriminadamente a componentes hijos, evitando duplicar fuentes de verdad.</w:t>
      </w:r>
    </w:p>
    <w:p>
      <w:pPr>
        <w:pStyle w:val="Heading1"/>
      </w:pPr>
      <w:r>
        <w:rPr>
          <w:rFonts w:ascii="Calibri" w:hAnsi="Calibri" w:eastAsia="Calibri"/>
          <w:color w:val="1F2937"/>
          <w:sz w:val="32"/>
        </w:rPr>
        <w:t>4. Clasificación por responsabilidad</w:t>
      </w:r>
    </w:p>
    <w:p>
      <w:pPr>
        <w:jc w:val="both"/>
      </w:pPr>
      <w:r>
        <w:rPr>
          <w:rFonts w:ascii="Calibri" w:hAnsi="Calibri" w:eastAsia="Calibri"/>
          <w:color w:val="1F2937"/>
          <w:sz w:val="22"/>
        </w:rPr>
        <w:t>La clasificación SES describe la responsabilidad del componente, no la etiqueta HTML que finalmente renderiza.</w:t>
      </w:r>
    </w:p>
    <w:tbl>
      <w:tblPr>
        <w:tblStyle w:val="TableGrid"/>
        <w:tblW w:type="dxa" w:w="8787"/>
        <w:jc w:val="center"/>
        <w:tblLayout w:type="fixed"/>
        <w:tblLook w:firstColumn="1" w:firstRow="1" w:lastColumn="0" w:lastRow="0" w:noHBand="0" w:noVBand="1" w:val="04A0"/>
      </w:tblPr>
      <w:tblGrid>
        <w:gridCol w:w="1700"/>
        <w:gridCol w:w="1984"/>
        <w:gridCol w:w="5102"/>
      </w:tblGrid>
      <w:tr>
        <w:trPr>
          <w:tblHeader w:val="true"/>
        </w:trPr>
        <w:tc>
          <w:tcPr>
            <w:tcW w:type="dxa" w:w="1701"/>
            <w:tcMar>
              <w:top w:w="100" w:type="dxa"/>
              <w:start w:w="120" w:type="dxa"/>
              <w:bottom w:w="100" w:type="dxa"/>
              <w:end w:w="120" w:type="dxa"/>
            </w:tcMar>
            <w:vAlign w:val="center"/>
            <w:shd w:fill="D9E2F3"/>
          </w:tcPr>
          <w:p>
            <w:pPr>
              <w:spacing w:after="0"/>
              <w:jc w:val="left"/>
            </w:pPr>
            <w:r>
              <w:rPr>
                <w:b/>
              </w:rPr>
            </w:r>
            <w:r>
              <w:rPr>
                <w:rFonts w:ascii="Calibri" w:hAnsi="Calibri" w:eastAsia="Calibri"/>
                <w:b/>
                <w:color w:val="1F2937"/>
                <w:sz w:val="20"/>
              </w:rPr>
              <w:t>Responsabilidad</w:t>
            </w:r>
          </w:p>
        </w:tc>
        <w:tc>
          <w:tcPr>
            <w:tcW w:type="dxa" w:w="1984"/>
            <w:tcMar>
              <w:top w:w="100" w:type="dxa"/>
              <w:start w:w="120" w:type="dxa"/>
              <w:bottom w:w="100" w:type="dxa"/>
              <w:end w:w="120" w:type="dxa"/>
            </w:tcMar>
            <w:vAlign w:val="center"/>
            <w:shd w:fill="D9E2F3"/>
          </w:tcPr>
          <w:p>
            <w:pPr>
              <w:spacing w:after="0"/>
              <w:jc w:val="left"/>
            </w:pPr>
            <w:r>
              <w:rPr>
                <w:b/>
              </w:rPr>
            </w:r>
            <w:r>
              <w:rPr>
                <w:rFonts w:ascii="Calibri" w:hAnsi="Calibri" w:eastAsia="Calibri"/>
                <w:b/>
                <w:color w:val="1F2937"/>
                <w:sz w:val="20"/>
              </w:rPr>
              <w:t>Finalidad</w:t>
            </w:r>
          </w:p>
        </w:tc>
        <w:tc>
          <w:tcPr>
            <w:tcW w:type="dxa" w:w="5102"/>
            <w:tcMar>
              <w:top w:w="100" w:type="dxa"/>
              <w:start w:w="120" w:type="dxa"/>
              <w:bottom w:w="100" w:type="dxa"/>
              <w:end w:w="120" w:type="dxa"/>
            </w:tcMar>
            <w:vAlign w:val="center"/>
            <w:shd w:fill="D9E2F3"/>
          </w:tcPr>
          <w:p>
            <w:pPr>
              <w:spacing w:after="0"/>
              <w:jc w:val="left"/>
            </w:pPr>
            <w:r>
              <w:rPr>
                <w:b/>
              </w:rPr>
            </w:r>
            <w:r>
              <w:rPr>
                <w:rFonts w:ascii="Calibri" w:hAnsi="Calibri" w:eastAsia="Calibri"/>
                <w:b/>
                <w:color w:val="1F2937"/>
                <w:sz w:val="20"/>
              </w:rPr>
              <w:t>Componentes relevantes del flujo</w:t>
            </w:r>
          </w:p>
        </w:tc>
      </w:tr>
      <w:tr>
        <w:tc>
          <w:tcPr>
            <w:tcW w:type="dxa" w:w="1701"/>
            <w:tcMar>
              <w:top w:w="100" w:type="dxa"/>
              <w:start w:w="120" w:type="dxa"/>
              <w:bottom w:w="100" w:type="dxa"/>
              <w:end w:w="120" w:type="dxa"/>
            </w:tcMar>
            <w:vAlign w:val="center"/>
          </w:tcPr>
          <w:p>
            <w:pPr>
              <w:spacing w:after="0"/>
              <w:jc w:val="left"/>
            </w:pPr>
            <w:r/>
            <w:r>
              <w:rPr>
                <w:rFonts w:ascii="Calibri" w:hAnsi="Calibri" w:eastAsia="Calibri"/>
                <w:color w:val="1F2937"/>
                <w:sz w:val="19"/>
              </w:rPr>
              <w:t>Forms</w:t>
            </w:r>
          </w:p>
        </w:tc>
        <w:tc>
          <w:tcPr>
            <w:tcW w:type="dxa" w:w="1984"/>
            <w:tcMar>
              <w:top w:w="100" w:type="dxa"/>
              <w:start w:w="120" w:type="dxa"/>
              <w:bottom w:w="100" w:type="dxa"/>
              <w:end w:w="120" w:type="dxa"/>
            </w:tcMar>
            <w:vAlign w:val="center"/>
          </w:tcPr>
          <w:p>
            <w:pPr>
              <w:spacing w:after="0"/>
              <w:jc w:val="left"/>
            </w:pPr>
            <w:r/>
            <w:r>
              <w:rPr>
                <w:rFonts w:ascii="Calibri" w:hAnsi="Calibri" w:eastAsia="Calibri"/>
                <w:color w:val="1F2937"/>
                <w:sz w:val="19"/>
              </w:rPr>
              <w:t>Capturar información</w:t>
            </w:r>
          </w:p>
        </w:tc>
        <w:tc>
          <w:tcPr>
            <w:tcW w:type="dxa" w:w="5102"/>
            <w:tcMar>
              <w:top w:w="100" w:type="dxa"/>
              <w:start w:w="120" w:type="dxa"/>
              <w:bottom w:w="100" w:type="dxa"/>
              <w:end w:w="120" w:type="dxa"/>
            </w:tcMar>
            <w:vAlign w:val="center"/>
          </w:tcPr>
          <w:p>
            <w:pPr>
              <w:spacing w:after="0"/>
              <w:jc w:val="left"/>
            </w:pPr>
            <w:r/>
            <w:r>
              <w:rPr>
                <w:rFonts w:ascii="Consolas" w:hAnsi="Consolas" w:eastAsia="Consolas"/>
                <w:color w:val="1F2937"/>
                <w:sz w:val="20"/>
              </w:rPr>
              <w:t>SESField</w:t>
            </w:r>
            <w:r>
              <w:rPr>
                <w:rFonts w:ascii="Calibri" w:hAnsi="Calibri" w:eastAsia="Calibri"/>
                <w:color w:val="1F2937"/>
                <w:sz w:val="19"/>
              </w:rPr>
              <w:t xml:space="preserve">, </w:t>
            </w:r>
            <w:r>
              <w:rPr>
                <w:rFonts w:ascii="Consolas" w:hAnsi="Consolas" w:eastAsia="Consolas"/>
                <w:color w:val="1F2937"/>
                <w:sz w:val="20"/>
              </w:rPr>
              <w:t>SESInput</w:t>
            </w:r>
            <w:r>
              <w:rPr>
                <w:rFonts w:ascii="Calibri" w:hAnsi="Calibri" w:eastAsia="Calibri"/>
                <w:color w:val="1F2937"/>
                <w:sz w:val="19"/>
              </w:rPr>
              <w:t xml:space="preserve">, </w:t>
            </w:r>
            <w:r>
              <w:rPr>
                <w:rFonts w:ascii="Consolas" w:hAnsi="Consolas" w:eastAsia="Consolas"/>
                <w:color w:val="1F2937"/>
                <w:sz w:val="20"/>
              </w:rPr>
              <w:t>SESSelect</w:t>
            </w:r>
            <w:r>
              <w:rPr>
                <w:rFonts w:ascii="Calibri" w:hAnsi="Calibri" w:eastAsia="Calibri"/>
                <w:color w:val="1F2937"/>
                <w:sz w:val="19"/>
              </w:rPr>
              <w:t xml:space="preserve">, </w:t>
            </w:r>
            <w:r>
              <w:rPr>
                <w:rFonts w:ascii="Consolas" w:hAnsi="Consolas" w:eastAsia="Consolas"/>
                <w:color w:val="1F2937"/>
                <w:sz w:val="20"/>
              </w:rPr>
              <w:t>SESDatePicker</w:t>
            </w:r>
            <w:r>
              <w:rPr>
                <w:rFonts w:ascii="Calibri" w:hAnsi="Calibri" w:eastAsia="Calibri"/>
                <w:color w:val="1F2937"/>
                <w:sz w:val="19"/>
              </w:rPr>
              <w:t xml:space="preserve">, </w:t>
            </w:r>
            <w:r>
              <w:rPr>
                <w:rFonts w:ascii="Consolas" w:hAnsi="Consolas" w:eastAsia="Consolas"/>
                <w:color w:val="1F2937"/>
                <w:sz w:val="20"/>
              </w:rPr>
              <w:t>SESNumberInput</w:t>
            </w:r>
            <w:r>
              <w:rPr>
                <w:rFonts w:ascii="Calibri" w:hAnsi="Calibri" w:eastAsia="Calibri"/>
                <w:color w:val="1F2937"/>
                <w:sz w:val="19"/>
              </w:rPr>
              <w:t xml:space="preserve">, </w:t>
            </w:r>
            <w:r>
              <w:rPr>
                <w:rFonts w:ascii="Consolas" w:hAnsi="Consolas" w:eastAsia="Consolas"/>
                <w:color w:val="1F2937"/>
                <w:sz w:val="20"/>
              </w:rPr>
              <w:t>SESCheckbox</w:t>
            </w:r>
            <w:r>
              <w:rPr>
                <w:rFonts w:ascii="Calibri" w:hAnsi="Calibri" w:eastAsia="Calibri"/>
                <w:color w:val="1F2937"/>
                <w:sz w:val="19"/>
              </w:rPr>
              <w:t xml:space="preserve">, </w:t>
            </w:r>
            <w:r>
              <w:rPr>
                <w:rFonts w:ascii="Consolas" w:hAnsi="Consolas" w:eastAsia="Consolas"/>
                <w:color w:val="1F2937"/>
                <w:sz w:val="20"/>
              </w:rPr>
              <w:t>SESToggleGroup</w:t>
            </w:r>
            <w:r>
              <w:rPr>
                <w:rFonts w:ascii="Calibri" w:hAnsi="Calibri" w:eastAsia="Calibri"/>
                <w:color w:val="1F2937"/>
                <w:sz w:val="19"/>
              </w:rPr>
              <w:t xml:space="preserve">, </w:t>
            </w:r>
            <w:r>
              <w:rPr>
                <w:rFonts w:ascii="Consolas" w:hAnsi="Consolas" w:eastAsia="Consolas"/>
                <w:color w:val="1F2937"/>
                <w:sz w:val="20"/>
              </w:rPr>
              <w:t>SESComprobanteSection</w:t>
            </w:r>
            <w:r>
              <w:rPr>
                <w:rFonts w:ascii="Calibri" w:hAnsi="Calibri" w:eastAsia="Calibri"/>
                <w:color w:val="1F2937"/>
                <w:sz w:val="19"/>
              </w:rPr>
              <w:t xml:space="preserve">, </w:t>
            </w:r>
            <w:r>
              <w:rPr>
                <w:rFonts w:ascii="Consolas" w:hAnsi="Consolas" w:eastAsia="Consolas"/>
                <w:color w:val="1F2937"/>
                <w:sz w:val="20"/>
              </w:rPr>
              <w:t>SESProveedorSection</w:t>
            </w:r>
          </w:p>
        </w:tc>
      </w:tr>
      <w:tr>
        <w:tc>
          <w:tcPr>
            <w:tcW w:type="dxa" w:w="1701"/>
            <w:tcMar>
              <w:top w:w="100" w:type="dxa"/>
              <w:start w:w="120" w:type="dxa"/>
              <w:bottom w:w="100" w:type="dxa"/>
              <w:end w:w="120" w:type="dxa"/>
            </w:tcMar>
            <w:vAlign w:val="center"/>
          </w:tcPr>
          <w:p>
            <w:pPr>
              <w:spacing w:after="0"/>
              <w:jc w:val="left"/>
            </w:pPr>
            <w:r/>
            <w:r>
              <w:rPr>
                <w:rFonts w:ascii="Calibri" w:hAnsi="Calibri" w:eastAsia="Calibri"/>
                <w:color w:val="1F2937"/>
                <w:sz w:val="19"/>
              </w:rPr>
              <w:t>Data</w:t>
            </w:r>
          </w:p>
        </w:tc>
        <w:tc>
          <w:tcPr>
            <w:tcW w:type="dxa" w:w="1984"/>
            <w:tcMar>
              <w:top w:w="100" w:type="dxa"/>
              <w:start w:w="120" w:type="dxa"/>
              <w:bottom w:w="100" w:type="dxa"/>
              <w:end w:w="120" w:type="dxa"/>
            </w:tcMar>
            <w:vAlign w:val="center"/>
          </w:tcPr>
          <w:p>
            <w:pPr>
              <w:spacing w:after="0"/>
              <w:jc w:val="left"/>
            </w:pPr>
            <w:r/>
            <w:r>
              <w:rPr>
                <w:rFonts w:ascii="Calibri" w:hAnsi="Calibri" w:eastAsia="Calibri"/>
                <w:color w:val="1F2937"/>
                <w:sz w:val="19"/>
              </w:rPr>
              <w:t>Presentar información estructurada</w:t>
            </w:r>
          </w:p>
        </w:tc>
        <w:tc>
          <w:tcPr>
            <w:tcW w:type="dxa" w:w="5102"/>
            <w:tcMar>
              <w:top w:w="100" w:type="dxa"/>
              <w:start w:w="120" w:type="dxa"/>
              <w:bottom w:w="100" w:type="dxa"/>
              <w:end w:w="120" w:type="dxa"/>
            </w:tcMar>
            <w:vAlign w:val="center"/>
          </w:tcPr>
          <w:p>
            <w:pPr>
              <w:spacing w:after="0"/>
              <w:jc w:val="left"/>
            </w:pPr>
            <w:r/>
            <w:r>
              <w:rPr>
                <w:rFonts w:ascii="Calibri" w:hAnsi="Calibri" w:eastAsia="Calibri"/>
                <w:color w:val="1F2937"/>
                <w:sz w:val="19"/>
              </w:rPr>
              <w:t>filas de ítems, resúmenes fiscales y componentes SES de datos reutilizados por el módulo</w:t>
            </w:r>
          </w:p>
        </w:tc>
      </w:tr>
      <w:tr>
        <w:tc>
          <w:tcPr>
            <w:tcW w:type="dxa" w:w="1701"/>
            <w:tcMar>
              <w:top w:w="100" w:type="dxa"/>
              <w:start w:w="120" w:type="dxa"/>
              <w:bottom w:w="100" w:type="dxa"/>
              <w:end w:w="120" w:type="dxa"/>
            </w:tcMar>
            <w:vAlign w:val="center"/>
          </w:tcPr>
          <w:p>
            <w:pPr>
              <w:spacing w:after="0"/>
              <w:jc w:val="left"/>
            </w:pPr>
            <w:r/>
            <w:r>
              <w:rPr>
                <w:rFonts w:ascii="Calibri" w:hAnsi="Calibri" w:eastAsia="Calibri"/>
                <w:color w:val="1F2937"/>
                <w:sz w:val="19"/>
              </w:rPr>
              <w:t>Actions</w:t>
            </w:r>
          </w:p>
        </w:tc>
        <w:tc>
          <w:tcPr>
            <w:tcW w:type="dxa" w:w="1984"/>
            <w:tcMar>
              <w:top w:w="100" w:type="dxa"/>
              <w:start w:w="120" w:type="dxa"/>
              <w:bottom w:w="100" w:type="dxa"/>
              <w:end w:w="120" w:type="dxa"/>
            </w:tcMar>
            <w:vAlign w:val="center"/>
          </w:tcPr>
          <w:p>
            <w:pPr>
              <w:spacing w:after="0"/>
              <w:jc w:val="left"/>
            </w:pPr>
            <w:r/>
            <w:r>
              <w:rPr>
                <w:rFonts w:ascii="Calibri" w:hAnsi="Calibri" w:eastAsia="Calibri"/>
                <w:color w:val="1F2937"/>
                <w:sz w:val="19"/>
              </w:rPr>
              <w:t>Ejecutar acciones</w:t>
            </w:r>
          </w:p>
        </w:tc>
        <w:tc>
          <w:tcPr>
            <w:tcW w:type="dxa" w:w="5102"/>
            <w:tcMar>
              <w:top w:w="100" w:type="dxa"/>
              <w:start w:w="120" w:type="dxa"/>
              <w:bottom w:w="100" w:type="dxa"/>
              <w:end w:w="120" w:type="dxa"/>
            </w:tcMar>
            <w:vAlign w:val="center"/>
          </w:tcPr>
          <w:p>
            <w:pPr>
              <w:spacing w:after="0"/>
              <w:jc w:val="left"/>
            </w:pPr>
            <w:r/>
            <w:r>
              <w:rPr>
                <w:rFonts w:ascii="Consolas" w:hAnsi="Consolas" w:eastAsia="Consolas"/>
                <w:color w:val="1F2937"/>
                <w:sz w:val="20"/>
              </w:rPr>
              <w:t>SESButton</w:t>
            </w:r>
            <w:r>
              <w:rPr>
                <w:rFonts w:ascii="Calibri" w:hAnsi="Calibri" w:eastAsia="Calibri"/>
                <w:color w:val="1F2937"/>
                <w:sz w:val="19"/>
              </w:rPr>
              <w:t xml:space="preserve">, </w:t>
            </w:r>
            <w:r>
              <w:rPr>
                <w:rFonts w:ascii="Consolas" w:hAnsi="Consolas" w:eastAsia="Consolas"/>
                <w:color w:val="1F2937"/>
                <w:sz w:val="20"/>
              </w:rPr>
              <w:t>SESIconButton</w:t>
            </w:r>
            <w:r>
              <w:rPr>
                <w:rFonts w:ascii="Calibri" w:hAnsi="Calibri" w:eastAsia="Calibri"/>
                <w:color w:val="1F2937"/>
                <w:sz w:val="19"/>
              </w:rPr>
              <w:t xml:space="preserve">, </w:t>
            </w:r>
            <w:r>
              <w:rPr>
                <w:rFonts w:ascii="Consolas" w:hAnsi="Consolas" w:eastAsia="Consolas"/>
                <w:color w:val="1F2937"/>
                <w:sz w:val="20"/>
              </w:rPr>
              <w:t>SESFooterActions</w:t>
            </w:r>
          </w:p>
        </w:tc>
      </w:tr>
      <w:tr>
        <w:tc>
          <w:tcPr>
            <w:tcW w:type="dxa" w:w="1701"/>
            <w:tcMar>
              <w:top w:w="100" w:type="dxa"/>
              <w:start w:w="120" w:type="dxa"/>
              <w:bottom w:w="100" w:type="dxa"/>
              <w:end w:w="120" w:type="dxa"/>
            </w:tcMar>
            <w:vAlign w:val="center"/>
          </w:tcPr>
          <w:p>
            <w:pPr>
              <w:spacing w:after="0"/>
              <w:jc w:val="left"/>
            </w:pPr>
            <w:r/>
            <w:r>
              <w:rPr>
                <w:rFonts w:ascii="Calibri" w:hAnsi="Calibri" w:eastAsia="Calibri"/>
                <w:color w:val="1F2937"/>
                <w:sz w:val="19"/>
              </w:rPr>
              <w:t>Layout</w:t>
            </w:r>
          </w:p>
        </w:tc>
        <w:tc>
          <w:tcPr>
            <w:tcW w:type="dxa" w:w="1984"/>
            <w:tcMar>
              <w:top w:w="100" w:type="dxa"/>
              <w:start w:w="120" w:type="dxa"/>
              <w:bottom w:w="100" w:type="dxa"/>
              <w:end w:w="120" w:type="dxa"/>
            </w:tcMar>
            <w:vAlign w:val="center"/>
          </w:tcPr>
          <w:p>
            <w:pPr>
              <w:spacing w:after="0"/>
              <w:jc w:val="left"/>
            </w:pPr>
            <w:r/>
            <w:r>
              <w:rPr>
                <w:rFonts w:ascii="Calibri" w:hAnsi="Calibri" w:eastAsia="Calibri"/>
                <w:color w:val="1F2937"/>
                <w:sz w:val="19"/>
              </w:rPr>
              <w:t>Organizar la pantalla</w:t>
            </w:r>
          </w:p>
        </w:tc>
        <w:tc>
          <w:tcPr>
            <w:tcW w:type="dxa" w:w="5102"/>
            <w:tcMar>
              <w:top w:w="100" w:type="dxa"/>
              <w:start w:w="120" w:type="dxa"/>
              <w:bottom w:w="100" w:type="dxa"/>
              <w:end w:w="120" w:type="dxa"/>
            </w:tcMar>
            <w:vAlign w:val="center"/>
          </w:tcPr>
          <w:p>
            <w:pPr>
              <w:spacing w:after="0"/>
              <w:jc w:val="left"/>
            </w:pPr>
            <w:r/>
            <w:r>
              <w:rPr>
                <w:rFonts w:ascii="Consolas" w:hAnsi="Consolas" w:eastAsia="Consolas"/>
                <w:color w:val="1F2937"/>
                <w:sz w:val="20"/>
              </w:rPr>
              <w:t>SESWorkspace</w:t>
            </w:r>
            <w:r>
              <w:rPr>
                <w:rFonts w:ascii="Calibri" w:hAnsi="Calibri" w:eastAsia="Calibri"/>
                <w:color w:val="1F2937"/>
                <w:sz w:val="19"/>
              </w:rPr>
              <w:t xml:space="preserve">, </w:t>
            </w:r>
            <w:r>
              <w:rPr>
                <w:rFonts w:ascii="Consolas" w:hAnsi="Consolas" w:eastAsia="Consolas"/>
                <w:color w:val="1F2937"/>
                <w:sz w:val="20"/>
              </w:rPr>
              <w:t>SESSection</w:t>
            </w:r>
            <w:r>
              <w:rPr>
                <w:rFonts w:ascii="Calibri" w:hAnsi="Calibri" w:eastAsia="Calibri"/>
                <w:color w:val="1F2937"/>
                <w:sz w:val="19"/>
              </w:rPr>
              <w:t xml:space="preserve">, </w:t>
            </w:r>
            <w:r>
              <w:rPr>
                <w:rFonts w:ascii="Consolas" w:hAnsi="Consolas" w:eastAsia="Consolas"/>
                <w:color w:val="1F2937"/>
                <w:sz w:val="20"/>
              </w:rPr>
              <w:t>SESFormRow</w:t>
            </w:r>
            <w:r>
              <w:rPr>
                <w:rFonts w:ascii="Calibri" w:hAnsi="Calibri" w:eastAsia="Calibri"/>
                <w:color w:val="1F2937"/>
                <w:sz w:val="19"/>
              </w:rPr>
              <w:t xml:space="preserve">, </w:t>
            </w:r>
            <w:r>
              <w:rPr>
                <w:rFonts w:ascii="Consolas" w:hAnsi="Consolas" w:eastAsia="Consolas"/>
                <w:color w:val="1F2937"/>
                <w:sz w:val="20"/>
              </w:rPr>
              <w:t>SESToolbar</w:t>
            </w:r>
            <w:r>
              <w:rPr>
                <w:rFonts w:ascii="Calibri" w:hAnsi="Calibri" w:eastAsia="Calibri"/>
                <w:color w:val="1F2937"/>
                <w:sz w:val="19"/>
              </w:rPr>
              <w:t xml:space="preserve">, </w:t>
            </w:r>
            <w:r>
              <w:rPr>
                <w:rFonts w:ascii="Consolas" w:hAnsi="Consolas" w:eastAsia="Consolas"/>
                <w:color w:val="1F2937"/>
                <w:sz w:val="20"/>
              </w:rPr>
              <w:t>SESActionBar</w:t>
            </w:r>
          </w:p>
        </w:tc>
      </w:tr>
      <w:tr>
        <w:tc>
          <w:tcPr>
            <w:tcW w:type="dxa" w:w="1701"/>
            <w:tcMar>
              <w:top w:w="100" w:type="dxa"/>
              <w:start w:w="120" w:type="dxa"/>
              <w:bottom w:w="100" w:type="dxa"/>
              <w:end w:w="120" w:type="dxa"/>
            </w:tcMar>
            <w:vAlign w:val="center"/>
          </w:tcPr>
          <w:p>
            <w:pPr>
              <w:spacing w:after="0"/>
              <w:jc w:val="left"/>
            </w:pPr>
            <w:r/>
            <w:r>
              <w:rPr>
                <w:rFonts w:ascii="Calibri" w:hAnsi="Calibri" w:eastAsia="Calibri"/>
                <w:color w:val="1F2937"/>
                <w:sz w:val="19"/>
              </w:rPr>
              <w:t>Feedback</w:t>
            </w:r>
          </w:p>
        </w:tc>
        <w:tc>
          <w:tcPr>
            <w:tcW w:type="dxa" w:w="1984"/>
            <w:tcMar>
              <w:top w:w="100" w:type="dxa"/>
              <w:start w:w="120" w:type="dxa"/>
              <w:bottom w:w="100" w:type="dxa"/>
              <w:end w:w="120" w:type="dxa"/>
            </w:tcMar>
            <w:vAlign w:val="center"/>
          </w:tcPr>
          <w:p>
            <w:pPr>
              <w:spacing w:after="0"/>
              <w:jc w:val="left"/>
            </w:pPr>
            <w:r/>
            <w:r>
              <w:rPr>
                <w:rFonts w:ascii="Calibri" w:hAnsi="Calibri" w:eastAsia="Calibri"/>
                <w:color w:val="1F2937"/>
                <w:sz w:val="19"/>
              </w:rPr>
              <w:t>Comunicar estado o solicitar decisiones</w:t>
            </w:r>
          </w:p>
        </w:tc>
        <w:tc>
          <w:tcPr>
            <w:tcW w:type="dxa" w:w="5102"/>
            <w:tcMar>
              <w:top w:w="100" w:type="dxa"/>
              <w:start w:w="120" w:type="dxa"/>
              <w:bottom w:w="100" w:type="dxa"/>
              <w:end w:w="120" w:type="dxa"/>
            </w:tcMar>
            <w:vAlign w:val="center"/>
          </w:tcPr>
          <w:p>
            <w:pPr>
              <w:spacing w:after="0"/>
              <w:jc w:val="left"/>
            </w:pPr>
            <w:r/>
            <w:r>
              <w:rPr>
                <w:rFonts w:ascii="Consolas" w:hAnsi="Consolas" w:eastAsia="Consolas"/>
                <w:color w:val="1F2937"/>
                <w:sz w:val="20"/>
              </w:rPr>
              <w:t>SESBadge</w:t>
            </w:r>
            <w:r>
              <w:rPr>
                <w:rFonts w:ascii="Calibri" w:hAnsi="Calibri" w:eastAsia="Calibri"/>
                <w:color w:val="1F2937"/>
                <w:sz w:val="19"/>
              </w:rPr>
              <w:t xml:space="preserve">, </w:t>
            </w:r>
            <w:r>
              <w:rPr>
                <w:rFonts w:ascii="Consolas" w:hAnsi="Consolas" w:eastAsia="Consolas"/>
                <w:color w:val="1F2937"/>
                <w:sz w:val="20"/>
              </w:rPr>
              <w:t>SESBadgeGroup</w:t>
            </w:r>
            <w:r>
              <w:rPr>
                <w:rFonts w:ascii="Calibri" w:hAnsi="Calibri" w:eastAsia="Calibri"/>
                <w:color w:val="1F2937"/>
                <w:sz w:val="19"/>
              </w:rPr>
              <w:t xml:space="preserve">, </w:t>
            </w:r>
            <w:r>
              <w:rPr>
                <w:rFonts w:ascii="Consolas" w:hAnsi="Consolas" w:eastAsia="Consolas"/>
                <w:color w:val="1F2937"/>
                <w:sz w:val="20"/>
              </w:rPr>
              <w:t>SESToast</w:t>
            </w:r>
            <w:r>
              <w:rPr>
                <w:rFonts w:ascii="Calibri" w:hAnsi="Calibri" w:eastAsia="Calibri"/>
                <w:color w:val="1F2937"/>
                <w:sz w:val="19"/>
              </w:rPr>
              <w:t xml:space="preserve">, </w:t>
            </w:r>
            <w:r>
              <w:rPr>
                <w:rFonts w:ascii="Consolas" w:hAnsi="Consolas" w:eastAsia="Consolas"/>
                <w:color w:val="1F2937"/>
                <w:sz w:val="20"/>
              </w:rPr>
              <w:t>SESToastProvider</w:t>
            </w:r>
            <w:r>
              <w:rPr>
                <w:rFonts w:ascii="Calibri" w:hAnsi="Calibri" w:eastAsia="Calibri"/>
                <w:color w:val="1F2937"/>
                <w:sz w:val="19"/>
              </w:rPr>
              <w:t xml:space="preserve">, </w:t>
            </w:r>
            <w:r>
              <w:rPr>
                <w:rFonts w:ascii="Consolas" w:hAnsi="Consolas" w:eastAsia="Consolas"/>
                <w:color w:val="1F2937"/>
                <w:sz w:val="20"/>
              </w:rPr>
              <w:t>SESConfirmDialog</w:t>
            </w:r>
          </w:p>
        </w:tc>
      </w:tr>
      <w:tr>
        <w:tc>
          <w:tcPr>
            <w:tcW w:type="dxa" w:w="1701"/>
            <w:tcMar>
              <w:top w:w="100" w:type="dxa"/>
              <w:start w:w="120" w:type="dxa"/>
              <w:bottom w:w="100" w:type="dxa"/>
              <w:end w:w="120" w:type="dxa"/>
            </w:tcMar>
            <w:vAlign w:val="center"/>
          </w:tcPr>
          <w:p>
            <w:pPr>
              <w:spacing w:after="0"/>
              <w:jc w:val="left"/>
            </w:pPr>
            <w:r/>
            <w:r>
              <w:rPr>
                <w:rFonts w:ascii="Calibri" w:hAnsi="Calibri" w:eastAsia="Calibri"/>
                <w:color w:val="1F2937"/>
                <w:sz w:val="19"/>
              </w:rPr>
              <w:t>Navigation</w:t>
            </w:r>
          </w:p>
        </w:tc>
        <w:tc>
          <w:tcPr>
            <w:tcW w:type="dxa" w:w="1984"/>
            <w:tcMar>
              <w:top w:w="100" w:type="dxa"/>
              <w:start w:w="120" w:type="dxa"/>
              <w:bottom w:w="100" w:type="dxa"/>
              <w:end w:w="120" w:type="dxa"/>
            </w:tcMar>
            <w:vAlign w:val="center"/>
          </w:tcPr>
          <w:p>
            <w:pPr>
              <w:spacing w:after="0"/>
              <w:jc w:val="left"/>
            </w:pPr>
            <w:r/>
            <w:r>
              <w:rPr>
                <w:rFonts w:ascii="Calibri" w:hAnsi="Calibri" w:eastAsia="Calibri"/>
                <w:color w:val="1F2937"/>
                <w:sz w:val="19"/>
              </w:rPr>
              <w:t>Desplazar al usuario por el sistema</w:t>
            </w:r>
          </w:p>
        </w:tc>
        <w:tc>
          <w:tcPr>
            <w:tcW w:type="dxa" w:w="5102"/>
            <w:tcMar>
              <w:top w:w="100" w:type="dxa"/>
              <w:start w:w="120" w:type="dxa"/>
              <w:bottom w:w="100" w:type="dxa"/>
              <w:end w:w="120" w:type="dxa"/>
            </w:tcMar>
            <w:vAlign w:val="center"/>
          </w:tcPr>
          <w:p>
            <w:pPr>
              <w:spacing w:after="0"/>
              <w:jc w:val="left"/>
            </w:pPr>
            <w:r/>
            <w:r>
              <w:rPr>
                <w:rFonts w:ascii="Calibri" w:hAnsi="Calibri" w:eastAsia="Calibri"/>
                <w:color w:val="1F2937"/>
                <w:sz w:val="19"/>
              </w:rPr>
              <w:t>router y navegación general, fuera de la lógica interna del formulario</w:t>
            </w:r>
          </w:p>
        </w:tc>
      </w:tr>
    </w:tbl>
    <w:p>
      <w:pPr>
        <w:spacing w:after="40"/>
      </w:pPr>
    </w:p>
    <w:p>
      <w:pPr>
        <w:jc w:val="both"/>
      </w:pPr>
      <w:r>
        <w:rPr>
          <w:rFonts w:ascii="Calibri" w:hAnsi="Calibri" w:eastAsia="Calibri"/>
          <w:color w:val="1F2937"/>
          <w:sz w:val="22"/>
        </w:rPr>
        <w:t>Esta clasificación es conceptual. La consolidación no reorganizó físicamente todo el árbol de carpetas.</w:t>
      </w:r>
    </w:p>
    <w:p>
      <w:pPr>
        <w:pStyle w:val="Heading1"/>
      </w:pPr>
      <w:r>
        <w:rPr>
          <w:rFonts w:ascii="Calibri" w:hAnsi="Calibri" w:eastAsia="Calibri"/>
          <w:color w:val="1F2937"/>
          <w:sz w:val="32"/>
        </w:rPr>
        <w:t>5. Configuración centralizada por categoría</w:t>
      </w:r>
    </w:p>
    <w:p>
      <w:pPr>
        <w:jc w:val="both"/>
      </w:pPr>
      <w:r>
        <w:rPr>
          <w:rFonts w:ascii="Consolas" w:hAnsi="Consolas" w:eastAsia="Consolas"/>
          <w:color w:val="1F2937"/>
          <w:sz w:val="20"/>
        </w:rPr>
        <w:t>CONFIG_CATEGORIAS</w:t>
      </w:r>
      <w:r>
        <w:rPr>
          <w:rFonts w:ascii="Calibri" w:hAnsi="Calibri" w:eastAsia="Calibri"/>
          <w:color w:val="1F2937"/>
          <w:sz w:val="22"/>
        </w:rPr>
        <w:t xml:space="preserve"> reúne la variación estable de las categorías reales: Factura, Nota de Crédito, Nota de Débito, Remito, Nota de Crédito Interna y Nota de Débito Interna. </w:t>
      </w:r>
      <w:r>
        <w:rPr>
          <w:rFonts w:ascii="Consolas" w:hAnsi="Consolas" w:eastAsia="Consolas"/>
          <w:color w:val="1F2937"/>
          <w:sz w:val="20"/>
        </w:rPr>
        <w:t>CONFIG_CATEGORIA_INICIAL</w:t>
      </w:r>
      <w:r>
        <w:rPr>
          <w:rFonts w:ascii="Calibri" w:hAnsi="Calibri" w:eastAsia="Calibri"/>
          <w:color w:val="1F2937"/>
          <w:sz w:val="22"/>
        </w:rPr>
        <w:t xml:space="preserve"> define el estado visual y funcional previo a una selección.</w:t>
      </w:r>
    </w:p>
    <w:p>
      <w:pPr>
        <w:jc w:val="both"/>
      </w:pPr>
      <w:r>
        <w:rPr>
          <w:rFonts w:ascii="Calibri" w:hAnsi="Calibri" w:eastAsia="Calibri"/>
          <w:color w:val="1F2937"/>
          <w:sz w:val="22"/>
        </w:rPr>
        <w:t>Las propiedades verificadas son:</w:t>
      </w:r>
    </w:p>
    <w:p>
      <w:pPr>
        <w:pStyle w:val="ListBullet"/>
      </w:pPr>
      <w:r>
        <w:rPr>
          <w:rFonts w:ascii="Consolas" w:hAnsi="Consolas" w:eastAsia="Consolas"/>
          <w:color w:val="1F2937"/>
          <w:sz w:val="20"/>
        </w:rPr>
        <w:t>filtroTipo</w:t>
      </w:r>
      <w:r>
        <w:rPr>
          <w:rFonts w:ascii="Calibri" w:hAnsi="Calibri" w:eastAsia="Calibri"/>
          <w:color w:val="1F2937"/>
          <w:sz w:val="22"/>
        </w:rPr>
        <w:t>: selecciona los tipos backend compatibles con la categoría.</w:t>
      </w:r>
    </w:p>
    <w:p>
      <w:pPr>
        <w:pStyle w:val="ListBullet"/>
      </w:pPr>
      <w:r>
        <w:rPr>
          <w:rFonts w:ascii="Consolas" w:hAnsi="Consolas" w:eastAsia="Consolas"/>
          <w:color w:val="1F2937"/>
          <w:sz w:val="20"/>
        </w:rPr>
        <w:t>llevaItems</w:t>
      </w:r>
      <w:r>
        <w:rPr>
          <w:rFonts w:ascii="Calibri" w:hAnsi="Calibri" w:eastAsia="Calibri"/>
          <w:color w:val="1F2937"/>
          <w:sz w:val="22"/>
        </w:rPr>
        <w:t>: determina si el documento utiliza la sección de ítems.</w:t>
      </w:r>
    </w:p>
    <w:p>
      <w:pPr>
        <w:pStyle w:val="ListBullet"/>
      </w:pPr>
      <w:r>
        <w:rPr>
          <w:rFonts w:ascii="Consolas" w:hAnsi="Consolas" w:eastAsia="Consolas"/>
          <w:color w:val="1F2937"/>
          <w:sz w:val="20"/>
        </w:rPr>
        <w:t>permiteSimplificado</w:t>
      </w:r>
      <w:r>
        <w:rPr>
          <w:rFonts w:ascii="Calibri" w:hAnsi="Calibri" w:eastAsia="Calibri"/>
          <w:color w:val="1F2937"/>
          <w:sz w:val="22"/>
        </w:rPr>
        <w:t>: declara si la categoría admite conceptualmente el modo simplificado.</w:t>
      </w:r>
    </w:p>
    <w:p>
      <w:pPr>
        <w:pStyle w:val="ListBullet"/>
      </w:pPr>
      <w:r>
        <w:rPr>
          <w:rFonts w:ascii="Consolas" w:hAnsi="Consolas" w:eastAsia="Consolas"/>
          <w:color w:val="1F2937"/>
          <w:sz w:val="20"/>
        </w:rPr>
        <w:t>esRemito</w:t>
      </w:r>
      <w:r>
        <w:rPr>
          <w:rFonts w:ascii="Calibri" w:hAnsi="Calibri" w:eastAsia="Calibri"/>
          <w:color w:val="1F2937"/>
          <w:sz w:val="22"/>
        </w:rPr>
        <w:t>: habilita el flujo específico de Remitos.</w:t>
      </w:r>
    </w:p>
    <w:p>
      <w:pPr>
        <w:pStyle w:val="ListBullet"/>
      </w:pPr>
      <w:r>
        <w:rPr>
          <w:rFonts w:ascii="Consolas" w:hAnsi="Consolas" w:eastAsia="Consolas"/>
          <w:color w:val="1F2937"/>
          <w:sz w:val="20"/>
        </w:rPr>
        <w:t>encabezado</w:t>
      </w:r>
      <w:r>
        <w:rPr>
          <w:rFonts w:ascii="Calibri" w:hAnsi="Calibri" w:eastAsia="Calibri"/>
          <w:color w:val="1F2937"/>
          <w:sz w:val="22"/>
        </w:rPr>
        <w:t>: aporta título y subtítulo del workspace.</w:t>
      </w:r>
    </w:p>
    <w:p>
      <w:pPr>
        <w:pStyle w:val="ListBullet"/>
      </w:pPr>
      <w:r>
        <w:rPr>
          <w:rFonts w:ascii="Consolas" w:hAnsi="Consolas" w:eastAsia="Consolas"/>
          <w:color w:val="1F2937"/>
          <w:sz w:val="20"/>
        </w:rPr>
        <w:t>seccionDocumento</w:t>
      </w:r>
      <w:r>
        <w:rPr>
          <w:rFonts w:ascii="Calibri" w:hAnsi="Calibri" w:eastAsia="Calibri"/>
          <w:color w:val="1F2937"/>
          <w:sz w:val="22"/>
        </w:rPr>
        <w:t>: aporta título y subtítulo de la sección documental.</w:t>
      </w:r>
    </w:p>
    <w:p>
      <w:pPr>
        <w:jc w:val="both"/>
      </w:pPr>
      <w:r>
        <w:rPr>
          <w:rFonts w:ascii="Calibri" w:hAnsi="Calibri" w:eastAsia="Calibri"/>
          <w:color w:val="1F2937"/>
          <w:sz w:val="22"/>
        </w:rPr>
        <w:t>Factura y Nota de Crédito llevan ítems y admiten ingreso simplificado. Nota de Débito y las notas internas se modelan como documentos sin ítems en este flujo. Remito lleva ítems, no admite simplificado y activa su presentación y persistencia específicas.</w:t>
      </w:r>
    </w:p>
    <w:p>
      <w:pPr>
        <w:jc w:val="both"/>
      </w:pPr>
      <w:r>
        <w:rPr>
          <w:rFonts w:ascii="Calibri" w:hAnsi="Calibri" w:eastAsia="Calibri"/>
          <w:color w:val="1F2937"/>
          <w:sz w:val="22"/>
        </w:rPr>
        <w:t>La configuración evita repetir comparaciones de textos en múltiples zonas y mantiene alineados encabezado, tipo, presencia de ítems y especialización de Remitos. No elimina todas las condiciones: las reglas que dependen del estado operativo continúan expresadas mediante derivados y validadores.</w:t>
      </w:r>
    </w:p>
    <w:p>
      <w:pPr>
        <w:pStyle w:val="Heading1"/>
      </w:pPr>
      <w:r>
        <w:rPr>
          <w:rFonts w:ascii="Calibri" w:hAnsi="Calibri" w:eastAsia="Calibri"/>
          <w:color w:val="1F2937"/>
          <w:sz w:val="32"/>
        </w:rPr>
        <w:t>6. Constantes derivadas y limpieza condicional</w:t>
      </w:r>
    </w:p>
    <w:p>
      <w:pPr>
        <w:jc w:val="both"/>
      </w:pPr>
      <w:r>
        <w:rPr>
          <w:rFonts w:ascii="Calibri" w:hAnsi="Calibri" w:eastAsia="Calibri"/>
          <w:color w:val="1F2937"/>
          <w:sz w:val="22"/>
        </w:rPr>
        <w:t>El componente obtiene conceptos funcionales a partir del estado actual:</w:t>
      </w:r>
    </w:p>
    <w:p>
      <w:pPr>
        <w:pStyle w:val="ListBullet"/>
      </w:pPr>
      <w:r>
        <w:rPr>
          <w:rFonts w:ascii="Consolas" w:hAnsi="Consolas" w:eastAsia="Consolas"/>
          <w:color w:val="1F2937"/>
          <w:sz w:val="20"/>
        </w:rPr>
        <w:t>configCategoria</w:t>
      </w:r>
      <w:r>
        <w:rPr>
          <w:rFonts w:ascii="Calibri" w:hAnsi="Calibri" w:eastAsia="Calibri"/>
          <w:color w:val="1F2937"/>
          <w:sz w:val="22"/>
        </w:rPr>
        <w:t>: configuración activa o inicial.</w:t>
      </w:r>
    </w:p>
    <w:p>
      <w:pPr>
        <w:pStyle w:val="ListBullet"/>
      </w:pPr>
      <w:r>
        <w:rPr>
          <w:rFonts w:ascii="Consolas" w:hAnsi="Consolas" w:eastAsia="Consolas"/>
          <w:color w:val="1F2937"/>
          <w:sz w:val="20"/>
        </w:rPr>
        <w:t>tiposFiltrados</w:t>
      </w:r>
      <w:r>
        <w:rPr>
          <w:rFonts w:ascii="Calibri" w:hAnsi="Calibri" w:eastAsia="Calibri"/>
          <w:color w:val="1F2937"/>
          <w:sz w:val="22"/>
        </w:rPr>
        <w:t xml:space="preserve"> y </w:t>
      </w:r>
      <w:r>
        <w:rPr>
          <w:rFonts w:ascii="Consolas" w:hAnsi="Consolas" w:eastAsia="Consolas"/>
          <w:color w:val="1F2937"/>
          <w:sz w:val="20"/>
        </w:rPr>
        <w:t>tipoSeleccionado</w:t>
      </w:r>
      <w:r>
        <w:rPr>
          <w:rFonts w:ascii="Calibri" w:hAnsi="Calibri" w:eastAsia="Calibri"/>
          <w:color w:val="1F2937"/>
          <w:sz w:val="22"/>
        </w:rPr>
        <w:t>: opciones y tipo efectivo.</w:t>
      </w:r>
    </w:p>
    <w:p>
      <w:pPr>
        <w:pStyle w:val="ListBullet"/>
      </w:pPr>
      <w:r>
        <w:rPr>
          <w:rFonts w:ascii="Consolas" w:hAnsi="Consolas" w:eastAsia="Consolas"/>
          <w:color w:val="1F2937"/>
          <w:sz w:val="20"/>
        </w:rPr>
        <w:t>llevaItems</w:t>
      </w:r>
      <w:r>
        <w:rPr>
          <w:rFonts w:ascii="Calibri" w:hAnsi="Calibri" w:eastAsia="Calibri"/>
          <w:color w:val="1F2937"/>
          <w:sz w:val="22"/>
        </w:rPr>
        <w:t xml:space="preserve"> y </w:t>
      </w:r>
      <w:r>
        <w:rPr>
          <w:rFonts w:ascii="Consolas" w:hAnsi="Consolas" w:eastAsia="Consolas"/>
          <w:color w:val="1F2937"/>
          <w:sz w:val="20"/>
        </w:rPr>
        <w:t>esRemito</w:t>
      </w:r>
      <w:r>
        <w:rPr>
          <w:rFonts w:ascii="Calibri" w:hAnsi="Calibri" w:eastAsia="Calibri"/>
          <w:color w:val="1F2937"/>
          <w:sz w:val="22"/>
        </w:rPr>
        <w:t>: capacidades documentales.</w:t>
      </w:r>
    </w:p>
    <w:p>
      <w:pPr>
        <w:pStyle w:val="ListBullet"/>
      </w:pPr>
      <w:r>
        <w:rPr>
          <w:rFonts w:ascii="Consolas" w:hAnsi="Consolas" w:eastAsia="Consolas"/>
          <w:color w:val="1F2937"/>
          <w:sz w:val="20"/>
        </w:rPr>
        <w:t>usaIngresoDetallado</w:t>
      </w:r>
      <w:r>
        <w:rPr>
          <w:rFonts w:ascii="Calibri" w:hAnsi="Calibri" w:eastAsia="Calibri"/>
          <w:color w:val="1F2937"/>
          <w:sz w:val="22"/>
        </w:rPr>
        <w:t xml:space="preserve"> y </w:t>
      </w:r>
      <w:r>
        <w:rPr>
          <w:rFonts w:ascii="Consolas" w:hAnsi="Consolas" w:eastAsia="Consolas"/>
          <w:color w:val="1F2937"/>
          <w:sz w:val="20"/>
        </w:rPr>
        <w:t>usaIngresoSimplificado</w:t>
      </w:r>
      <w:r>
        <w:rPr>
          <w:rFonts w:ascii="Calibri" w:hAnsi="Calibri" w:eastAsia="Calibri"/>
          <w:color w:val="1F2937"/>
          <w:sz w:val="22"/>
        </w:rPr>
        <w:t>: modo activo.</w:t>
      </w:r>
    </w:p>
    <w:p>
      <w:pPr>
        <w:pStyle w:val="ListBullet"/>
      </w:pPr>
      <w:r>
        <w:rPr>
          <w:rFonts w:ascii="Consolas" w:hAnsi="Consolas" w:eastAsia="Consolas"/>
          <w:color w:val="1F2937"/>
          <w:sz w:val="20"/>
        </w:rPr>
        <w:t>muestraFormularioSinItems</w:t>
      </w:r>
      <w:r>
        <w:rPr>
          <w:rFonts w:ascii="Calibri" w:hAnsi="Calibri" w:eastAsia="Calibri"/>
          <w:color w:val="1F2937"/>
          <w:sz w:val="22"/>
        </w:rPr>
        <w:t>: habilita motivo e importe para documentos sin ítems.</w:t>
      </w:r>
    </w:p>
    <w:p>
      <w:pPr>
        <w:pStyle w:val="ListBullet"/>
      </w:pPr>
      <w:r>
        <w:rPr>
          <w:rFonts w:ascii="Consolas" w:hAnsi="Consolas" w:eastAsia="Consolas"/>
          <w:color w:val="1F2937"/>
          <w:sz w:val="20"/>
        </w:rPr>
        <w:t>muestraResumen</w:t>
      </w:r>
      <w:r>
        <w:rPr>
          <w:rFonts w:ascii="Calibri" w:hAnsi="Calibri" w:eastAsia="Calibri"/>
          <w:color w:val="1F2937"/>
          <w:sz w:val="22"/>
        </w:rPr>
        <w:t>: decide la presencia del resumen fiscal o de recepción.</w:t>
      </w:r>
    </w:p>
    <w:p>
      <w:pPr>
        <w:pStyle w:val="ListBullet"/>
      </w:pPr>
      <w:r>
        <w:rPr>
          <w:rFonts w:ascii="Consolas" w:hAnsi="Consolas" w:eastAsia="Consolas"/>
          <w:color w:val="1F2937"/>
          <w:sz w:val="20"/>
        </w:rPr>
        <w:t>muestraTotalSinItems</w:t>
      </w:r>
      <w:r>
        <w:rPr>
          <w:rFonts w:ascii="Calibri" w:hAnsi="Calibri" w:eastAsia="Calibri"/>
          <w:color w:val="1F2937"/>
          <w:sz w:val="22"/>
        </w:rPr>
        <w:t>: presenta el total de documentos sin ítems cuando corresponde.</w:t>
      </w:r>
    </w:p>
    <w:p>
      <w:pPr>
        <w:pStyle w:val="ListBullet"/>
      </w:pPr>
      <w:r>
        <w:rPr>
          <w:rFonts w:ascii="Consolas" w:hAnsi="Consolas" w:eastAsia="Consolas"/>
          <w:color w:val="1F2937"/>
          <w:sz w:val="20"/>
        </w:rPr>
        <w:t>tieneDatosIngresados</w:t>
      </w:r>
      <w:r>
        <w:rPr>
          <w:rFonts w:ascii="Calibri" w:hAnsi="Calibri" w:eastAsia="Calibri"/>
          <w:color w:val="1F2937"/>
          <w:sz w:val="22"/>
        </w:rPr>
        <w:t>: decide si Cancelar necesita confirmación.</w:t>
      </w:r>
    </w:p>
    <w:p>
      <w:pPr>
        <w:jc w:val="both"/>
      </w:pPr>
      <w:r>
        <w:rPr>
          <w:rFonts w:ascii="Calibri" w:hAnsi="Calibri" w:eastAsia="Calibri"/>
          <w:color w:val="1F2937"/>
          <w:sz w:val="22"/>
        </w:rPr>
        <w:t xml:space="preserve">Estas constantes traducen combinaciones técnicas a vocabulario del dominio y reducen condiciones repetidas en el JSX. </w:t>
      </w:r>
      <w:r>
        <w:rPr>
          <w:rFonts w:ascii="Consolas" w:hAnsi="Consolas" w:eastAsia="Consolas"/>
          <w:color w:val="1F2937"/>
          <w:sz w:val="20"/>
        </w:rPr>
        <w:t>esComprobanteFiscal</w:t>
      </w:r>
      <w:r>
        <w:rPr>
          <w:rFonts w:ascii="Calibri" w:hAnsi="Calibri" w:eastAsia="Calibri"/>
          <w:color w:val="1F2937"/>
          <w:sz w:val="22"/>
        </w:rPr>
        <w:t xml:space="preserve"> no forma parte de la implementación vigente: los puntos que necesitan esa propiedad consultan actualmente </w:t>
      </w:r>
      <w:r>
        <w:rPr>
          <w:rFonts w:ascii="Consolas" w:hAnsi="Consolas" w:eastAsia="Consolas"/>
          <w:color w:val="1F2937"/>
          <w:sz w:val="20"/>
        </w:rPr>
        <w:t>tipoSeleccionado?.cbte_fiscal</w:t>
      </w:r>
      <w:r>
        <w:rPr>
          <w:rFonts w:ascii="Calibri" w:hAnsi="Calibri" w:eastAsia="Calibri"/>
          <w:color w:val="1F2937"/>
          <w:sz w:val="22"/>
        </w:rPr>
        <w:t>.</w:t>
      </w:r>
    </w:p>
    <w:p>
      <w:pPr>
        <w:pStyle w:val="Heading1"/>
      </w:pPr>
      <w:r>
        <w:rPr>
          <w:rFonts w:ascii="Calibri" w:hAnsi="Calibri" w:eastAsia="Calibri"/>
          <w:color w:val="1F2937"/>
          <w:sz w:val="32"/>
        </w:rPr>
        <w:t>7. Especialización de ítems</w:t>
      </w:r>
    </w:p>
    <w:p>
      <w:pPr>
        <w:jc w:val="both"/>
      </w:pPr>
      <w:r>
        <w:rPr>
          <w:rFonts w:ascii="Consolas" w:hAnsi="Consolas" w:eastAsia="Consolas"/>
          <w:color w:val="1F2937"/>
          <w:sz w:val="20"/>
        </w:rPr>
        <w:t>SESItemsSection</w:t>
      </w:r>
      <w:r>
        <w:rPr>
          <w:rFonts w:ascii="Calibri" w:hAnsi="Calibri" w:eastAsia="Calibri"/>
          <w:color w:val="1F2937"/>
          <w:sz w:val="22"/>
        </w:rPr>
        <w:t xml:space="preserve"> conserva un contrato público único y monta exclusivamente </w:t>
      </w:r>
      <w:r>
        <w:rPr>
          <w:rFonts w:ascii="Consolas" w:hAnsi="Consolas" w:eastAsia="Consolas"/>
          <w:color w:val="1F2937"/>
          <w:sz w:val="20"/>
        </w:rPr>
        <w:t>SESItemsRemito</w:t>
      </w:r>
      <w:r>
        <w:rPr>
          <w:rFonts w:ascii="Calibri" w:hAnsi="Calibri" w:eastAsia="Calibri"/>
          <w:color w:val="1F2937"/>
          <w:sz w:val="22"/>
        </w:rPr>
        <w:t xml:space="preserve"> cuando </w:t>
      </w:r>
      <w:r>
        <w:rPr>
          <w:rFonts w:ascii="Consolas" w:hAnsi="Consolas" w:eastAsia="Consolas"/>
          <w:color w:val="1F2937"/>
          <w:sz w:val="20"/>
        </w:rPr>
        <w:t>esRemito</w:t>
      </w:r>
      <w:r>
        <w:rPr>
          <w:rFonts w:ascii="Calibri" w:hAnsi="Calibri" w:eastAsia="Calibri"/>
          <w:color w:val="1F2937"/>
          <w:sz w:val="22"/>
        </w:rPr>
        <w:t xml:space="preserve"> es verdadero; en los demás casos monta </w:t>
      </w:r>
      <w:r>
        <w:rPr>
          <w:rFonts w:ascii="Consolas" w:hAnsi="Consolas" w:eastAsia="Consolas"/>
          <w:color w:val="1F2937"/>
          <w:sz w:val="20"/>
        </w:rPr>
        <w:t>SESItemsFactura</w:t>
      </w:r>
      <w:r>
        <w:rPr>
          <w:rFonts w:ascii="Calibri" w:hAnsi="Calibri" w:eastAsia="Calibri"/>
          <w:color w:val="1F2937"/>
          <w:sz w:val="22"/>
        </w:rPr>
        <w:t xml:space="preserve">. Esta capa permite que </w:t>
      </w:r>
      <w:r>
        <w:rPr>
          <w:rFonts w:ascii="Consolas" w:hAnsi="Consolas" w:eastAsia="Consolas"/>
          <w:color w:val="1F2937"/>
          <w:sz w:val="20"/>
        </w:rPr>
        <w:t>NuevoComprobante</w:t>
      </w:r>
      <w:r>
        <w:rPr>
          <w:rFonts w:ascii="Calibri" w:hAnsi="Calibri" w:eastAsia="Calibri"/>
          <w:color w:val="1F2937"/>
          <w:sz w:val="22"/>
        </w:rPr>
        <w:t xml:space="preserve"> no conozca detalles de presentación de cada grilla.</w:t>
      </w:r>
    </w:p>
    <w:p>
      <w:pPr>
        <w:jc w:val="both"/>
      </w:pPr>
      <w:r>
        <w:rPr>
          <w:rFonts w:ascii="Consolas" w:hAnsi="Consolas" w:eastAsia="Consolas"/>
          <w:color w:val="1F2937"/>
          <w:sz w:val="20"/>
        </w:rPr>
        <w:t>SESItemsFactura</w:t>
      </w:r>
      <w:r>
        <w:rPr>
          <w:rFonts w:ascii="Calibri" w:hAnsi="Calibri" w:eastAsia="Calibri"/>
          <w:color w:val="1F2937"/>
          <w:sz w:val="22"/>
        </w:rPr>
        <w:t xml:space="preserve"> ofrece modo detallado y simplificado. En detallado integra </w:t>
      </w:r>
      <w:r>
        <w:rPr>
          <w:rFonts w:ascii="Consolas" w:hAnsi="Consolas" w:eastAsia="Consolas"/>
          <w:color w:val="1F2937"/>
          <w:sz w:val="20"/>
        </w:rPr>
        <w:t>BuscadorArticulos</w:t>
      </w:r>
      <w:r>
        <w:rPr>
          <w:rFonts w:ascii="Calibri" w:hAnsi="Calibri" w:eastAsia="Calibri"/>
          <w:color w:val="1F2937"/>
          <w:sz w:val="22"/>
        </w:rPr>
        <w:t xml:space="preserve">, transforma el artículo seleccionado al modelo del formulario, permite conceptos manuales, cantidades, costo actual, costo facturado, IVA, ICL, IDC, Impuesto Interno y actualización de costo. Los ítems poseen </w:t>
      </w:r>
      <w:r>
        <w:rPr>
          <w:rFonts w:ascii="Consolas" w:hAnsi="Consolas" w:eastAsia="Consolas"/>
          <w:color w:val="1F2937"/>
          <w:sz w:val="20"/>
        </w:rPr>
        <w:t>_uid</w:t>
      </w:r>
      <w:r>
        <w:rPr>
          <w:rFonts w:ascii="Calibri" w:hAnsi="Calibri" w:eastAsia="Calibri"/>
          <w:color w:val="1F2937"/>
          <w:sz w:val="22"/>
        </w:rPr>
        <w:t xml:space="preserve"> para identidad visual y se eliminan por índice conservando el comportamiento original.</w:t>
      </w:r>
    </w:p>
    <w:p>
      <w:pPr>
        <w:jc w:val="both"/>
      </w:pPr>
      <w:r>
        <w:rPr>
          <w:rFonts w:ascii="Consolas" w:hAnsi="Consolas" w:eastAsia="Consolas"/>
          <w:color w:val="1F2937"/>
          <w:sz w:val="20"/>
        </w:rPr>
        <w:t>SESItemsRemito</w:t>
      </w:r>
      <w:r>
        <w:rPr>
          <w:rFonts w:ascii="Calibri" w:hAnsi="Calibri" w:eastAsia="Calibri"/>
          <w:color w:val="1F2937"/>
          <w:sz w:val="22"/>
        </w:rPr>
        <w:t xml:space="preserve"> utiliza el mismo buscador y conserva la transformación necesaria para el contrato de Remitos. Presenta código, descripción, cantidad y costo cuando está disponible. No permite conceptos manuales ni selector de modo y no muestra IVA, tributos o totales. El costo opcional puede conservarse y enviarse, pero el documento no presenta un total económico ni se trata como comprobante fiscal valorizado.</w:t>
      </w:r>
    </w:p>
    <w:p>
      <w:pPr>
        <w:jc w:val="both"/>
      </w:pPr>
      <w:r>
        <w:rPr>
          <w:rFonts w:ascii="Calibri" w:hAnsi="Calibri" w:eastAsia="Calibri"/>
          <w:color w:val="1F2937"/>
          <w:sz w:val="22"/>
        </w:rPr>
        <w:t xml:space="preserve">Sucursal, depósito y actualización obligatoria de stock no pertenecen a la grilla: se presentan en la rama Remito de </w:t>
      </w:r>
      <w:r>
        <w:rPr>
          <w:rFonts w:ascii="Consolas" w:hAnsi="Consolas" w:eastAsia="Consolas"/>
          <w:color w:val="1F2937"/>
          <w:sz w:val="20"/>
        </w:rPr>
        <w:t>SESResumenSection</w:t>
      </w:r>
      <w:r>
        <w:rPr>
          <w:rFonts w:ascii="Calibri" w:hAnsi="Calibri" w:eastAsia="Calibri"/>
          <w:color w:val="1F2937"/>
          <w:sz w:val="22"/>
        </w:rPr>
        <w:t>. Esta separación mantiene la mercadería en la sección de ítems y el destino de recepción en el resumen operativo.</w:t>
      </w:r>
    </w:p>
    <w:p>
      <w:pPr>
        <w:jc w:val="both"/>
      </w:pPr>
      <w:r>
        <w:rPr>
          <w:rFonts w:ascii="Calibri" w:hAnsi="Calibri" w:eastAsia="Calibri"/>
          <w:color w:val="1F2937"/>
          <w:sz w:val="22"/>
        </w:rPr>
        <w:t>Volver a una sola vista con condiciones por cada columna mezclaría nuevamente modelos funcionales diferentes. El selector común debe permanecer pequeño y las diferencias deben evolucionar dentro de cada vista especializada.</w:t>
      </w:r>
    </w:p>
    <w:p>
      <w:pPr>
        <w:pStyle w:val="Heading1"/>
      </w:pPr>
      <w:r>
        <w:rPr>
          <w:rFonts w:ascii="Calibri" w:hAnsi="Calibri" w:eastAsia="Calibri"/>
          <w:color w:val="1F2937"/>
          <w:sz w:val="32"/>
        </w:rPr>
        <w:t>8. Modos de ingreso</w:t>
      </w:r>
    </w:p>
    <w:p>
      <w:pPr>
        <w:jc w:val="both"/>
      </w:pPr>
      <w:r>
        <w:rPr>
          <w:rFonts w:ascii="Calibri" w:hAnsi="Calibri" w:eastAsia="Calibri"/>
          <w:color w:val="1F2937"/>
          <w:sz w:val="22"/>
        </w:rPr>
        <w:t xml:space="preserve">El estado inicial es </w:t>
      </w:r>
      <w:r>
        <w:rPr>
          <w:rFonts w:ascii="Consolas" w:hAnsi="Consolas" w:eastAsia="Consolas"/>
          <w:color w:val="1F2937"/>
          <w:sz w:val="20"/>
        </w:rPr>
        <w:t>detallado</w:t>
      </w:r>
      <w:r>
        <w:rPr>
          <w:rFonts w:ascii="Calibri" w:hAnsi="Calibri" w:eastAsia="Calibri"/>
          <w:color w:val="1F2937"/>
          <w:sz w:val="22"/>
        </w:rPr>
        <w:t>. Sólo las categorías configuradas para el flujo valorizado exponen el selector entre detallado y simplificado; Remitos y documentos sin ítems no comparten ambos modos.</w:t>
      </w:r>
    </w:p>
    <w:p>
      <w:pPr>
        <w:jc w:val="both"/>
      </w:pPr>
      <w:r>
        <w:rPr>
          <w:rFonts w:ascii="Calibri" w:hAnsi="Calibri" w:eastAsia="Calibri"/>
          <w:color w:val="1F2937"/>
          <w:sz w:val="22"/>
        </w:rPr>
        <w:t>En modo detallado, los artículos o conceptos forman la fuente del subtotal y del IVA. Cada modificación recalcula la línea; el IVA agrupado se mantiene para presentación, pero no es la fuente principal de la suma económica.</w:t>
      </w:r>
    </w:p>
    <w:p>
      <w:pPr>
        <w:jc w:val="both"/>
      </w:pPr>
      <w:r>
        <w:rPr>
          <w:rFonts w:ascii="Calibri" w:hAnsi="Calibri" w:eastAsia="Calibri"/>
          <w:color w:val="1F2937"/>
          <w:sz w:val="22"/>
        </w:rPr>
        <w:t>En modo simplificado no se cargan artículos. Las filas de IVA contienen base imponible, tipo de IVA e importe calculado, y el resumen permite ingresar los tributos correspondientes. Al entrar al modo puede crearse una primera fila técnica vacía con el primer tipo de IVA disponible.</w:t>
      </w:r>
    </w:p>
    <w:p>
      <w:pPr>
        <w:jc w:val="both"/>
      </w:pPr>
      <w:r>
        <w:rPr>
          <w:rFonts w:ascii="Calibri" w:hAnsi="Calibri" w:eastAsia="Calibri"/>
          <w:color w:val="1F2937"/>
          <w:sz w:val="22"/>
        </w:rPr>
        <w:t xml:space="preserve">El cambio de modo restablece ítems, IVA, tributos, Total Factura y fechas administradas por </w:t>
      </w:r>
      <w:r>
        <w:rPr>
          <w:rFonts w:ascii="Consolas" w:hAnsi="Consolas" w:eastAsia="Consolas"/>
          <w:color w:val="1F2937"/>
          <w:sz w:val="20"/>
        </w:rPr>
        <w:t>resetForm</w:t>
      </w:r>
      <w:r>
        <w:rPr>
          <w:rFonts w:ascii="Calibri" w:hAnsi="Calibri" w:eastAsia="Calibri"/>
          <w:color w:val="1F2937"/>
          <w:sz w:val="22"/>
        </w:rPr>
        <w:t xml:space="preserve">. Si existen ítems, todavía utiliza </w:t>
      </w:r>
      <w:r>
        <w:rPr>
          <w:rFonts w:ascii="Consolas" w:hAnsi="Consolas" w:eastAsia="Consolas"/>
          <w:color w:val="1F2937"/>
          <w:sz w:val="20"/>
        </w:rPr>
        <w:t>window.confirm</w:t>
      </w:r>
      <w:r>
        <w:rPr>
          <w:rFonts w:ascii="Calibri" w:hAnsi="Calibri" w:eastAsia="Calibri"/>
          <w:color w:val="1F2937"/>
          <w:sz w:val="22"/>
        </w:rPr>
        <w:t xml:space="preserve"> antes de descartarlos. Su migración a una confirmación SES permanece como mejora conocida.</w:t>
      </w:r>
    </w:p>
    <w:p>
      <w:pPr>
        <w:pStyle w:val="Heading1"/>
      </w:pPr>
      <w:r>
        <w:rPr>
          <w:rFonts w:ascii="Calibri" w:hAnsi="Calibri" w:eastAsia="Calibri"/>
          <w:color w:val="1F2937"/>
          <w:sz w:val="32"/>
        </w:rPr>
        <w:t>9. Flujo de validación</w:t>
      </w:r>
    </w:p>
    <w:p>
      <w:pPr>
        <w:jc w:val="both"/>
      </w:pPr>
      <w:r>
        <w:rPr>
          <w:rFonts w:ascii="Calibri" w:hAnsi="Calibri" w:eastAsia="Calibri"/>
          <w:color w:val="1F2937"/>
          <w:sz w:val="22"/>
        </w:rPr>
        <w:t>El recorrido es:</w:t>
      </w:r>
    </w:p>
    <w:p>
      <w:pPr>
        <w:spacing w:before="80" w:after="120" w:line="240" w:lineRule="auto"/>
        <w:ind w:left="227" w:right="227"/>
        <w:shd w:fill="F2F4F7"/>
      </w:pPr>
      <w:r>
        <w:rPr>
          <w:rFonts w:ascii="Consolas" w:hAnsi="Consolas" w:eastAsia="Consolas"/>
          <w:color w:val="1F2937"/>
          <w:sz w:val="20"/>
        </w:rPr>
        <w:t>handleConfirmar()</w:t>
      </w:r>
      <w:r>
        <w:br/>
      </w:r>
      <w:r>
        <w:rPr>
          <w:rFonts w:ascii="Consolas" w:hAnsi="Consolas" w:eastAsia="Consolas"/>
          <w:color w:val="1F2937"/>
          <w:sz w:val="20"/>
        </w:rPr>
        <w:t xml:space="preserve">    ↓ await validar()</w:t>
      </w:r>
      <w:r>
        <w:br/>
      </w:r>
      <w:r>
        <w:rPr>
          <w:rFonts w:ascii="Consolas" w:hAnsi="Consolas" w:eastAsia="Consolas"/>
          <w:color w:val="1F2937"/>
          <w:sz w:val="20"/>
        </w:rPr>
        <w:t>validaciones comunes y especializadas</w:t>
      </w:r>
      <w:r>
        <w:br/>
      </w:r>
      <w:r>
        <w:rPr>
          <w:rFonts w:ascii="Consolas" w:hAnsi="Consolas" w:eastAsia="Consolas"/>
          <w:color w:val="1F2937"/>
          <w:sz w:val="20"/>
        </w:rPr>
        <w:t xml:space="preserve">    ├── inválido → setErrores + SESToast + bloqueo</w:t>
      </w:r>
      <w:r>
        <w:br/>
      </w:r>
      <w:r>
        <w:rPr>
          <w:rFonts w:ascii="Consolas" w:hAnsi="Consolas" w:eastAsia="Consolas"/>
          <w:color w:val="1F2937"/>
          <w:sz w:val="20"/>
        </w:rPr>
        <w:t xml:space="preserve">    └── válido   → construcción y envío del payload</w:t>
      </w:r>
    </w:p>
    <w:p>
      <w:pPr>
        <w:jc w:val="both"/>
      </w:pPr>
      <w:r>
        <w:rPr>
          <w:rFonts w:ascii="Consolas" w:hAnsi="Consolas" w:eastAsia="Consolas"/>
          <w:color w:val="1F2937"/>
          <w:sz w:val="20"/>
        </w:rPr>
        <w:t>validarCamposComunes</w:t>
      </w:r>
      <w:r>
        <w:rPr>
          <w:rFonts w:ascii="Calibri" w:hAnsi="Calibri" w:eastAsia="Calibri"/>
          <w:color w:val="1F2937"/>
          <w:sz w:val="22"/>
        </w:rPr>
        <w:t xml:space="preserve"> exige tipo, proveedor y fecha válida no futura. </w:t>
      </w:r>
      <w:r>
        <w:rPr>
          <w:rFonts w:ascii="Consolas" w:hAnsi="Consolas" w:eastAsia="Consolas"/>
          <w:color w:val="1F2937"/>
          <w:sz w:val="20"/>
        </w:rPr>
        <w:t>validarFactura</w:t>
      </w:r>
      <w:r>
        <w:rPr>
          <w:rFonts w:ascii="Calibri" w:hAnsi="Calibri" w:eastAsia="Calibri"/>
          <w:color w:val="1F2937"/>
          <w:sz w:val="22"/>
        </w:rPr>
        <w:t xml:space="preserve"> exige vencimiento para Facturas y controla que no sea anterior a la emisión. </w:t>
      </w:r>
      <w:r>
        <w:rPr>
          <w:rFonts w:ascii="Consolas" w:hAnsi="Consolas" w:eastAsia="Consolas"/>
          <w:color w:val="1F2937"/>
          <w:sz w:val="20"/>
        </w:rPr>
        <w:t>validarDatosFiscales</w:t>
      </w:r>
      <w:r>
        <w:rPr>
          <w:rFonts w:ascii="Calibri" w:hAnsi="Calibri" w:eastAsia="Calibri"/>
          <w:color w:val="1F2937"/>
          <w:sz w:val="22"/>
        </w:rPr>
        <w:t xml:space="preserve"> valida período, punto de venta y número cuando el tipo es fiscal.</w:t>
      </w:r>
    </w:p>
    <w:p>
      <w:pPr>
        <w:jc w:val="both"/>
      </w:pPr>
      <w:r>
        <w:rPr>
          <w:rFonts w:ascii="Consolas" w:hAnsi="Consolas" w:eastAsia="Consolas"/>
          <w:color w:val="1F2937"/>
          <w:sz w:val="20"/>
        </w:rPr>
        <w:t>validarDocumentoConItems</w:t>
      </w:r>
      <w:r>
        <w:rPr>
          <w:rFonts w:ascii="Calibri" w:hAnsi="Calibri" w:eastAsia="Calibri"/>
          <w:color w:val="1F2937"/>
          <w:sz w:val="22"/>
        </w:rPr>
        <w:t xml:space="preserve"> controla ítems o filas simplificadas, descripción de conceptos manuales, subtotal, Total Factura y su concordancia. </w:t>
      </w:r>
      <w:r>
        <w:rPr>
          <w:rFonts w:ascii="Consolas" w:hAnsi="Consolas" w:eastAsia="Consolas"/>
          <w:color w:val="1F2937"/>
          <w:sz w:val="20"/>
        </w:rPr>
        <w:t>validarDocumentoSinItems</w:t>
      </w:r>
      <w:r>
        <w:rPr>
          <w:rFonts w:ascii="Calibri" w:hAnsi="Calibri" w:eastAsia="Calibri"/>
          <w:color w:val="1F2937"/>
          <w:sz w:val="22"/>
        </w:rPr>
        <w:t xml:space="preserve"> exige un importe positivo. </w:t>
      </w:r>
      <w:r>
        <w:rPr>
          <w:rFonts w:ascii="Consolas" w:hAnsi="Consolas" w:eastAsia="Consolas"/>
          <w:color w:val="1F2937"/>
          <w:sz w:val="20"/>
        </w:rPr>
        <w:t>validarStockOpcional</w:t>
      </w:r>
      <w:r>
        <w:rPr>
          <w:rFonts w:ascii="Calibri" w:hAnsi="Calibri" w:eastAsia="Calibri"/>
          <w:color w:val="1F2937"/>
          <w:sz w:val="22"/>
        </w:rPr>
        <w:t xml:space="preserve"> controla sucursal y depósito cuando un comprobante valorizado actualiza stock. </w:t>
      </w:r>
      <w:r>
        <w:rPr>
          <w:rFonts w:ascii="Consolas" w:hAnsi="Consolas" w:eastAsia="Consolas"/>
          <w:color w:val="1F2937"/>
          <w:sz w:val="20"/>
        </w:rPr>
        <w:t>validarDuplicado</w:t>
      </w:r>
      <w:r>
        <w:rPr>
          <w:rFonts w:ascii="Calibri" w:hAnsi="Calibri" w:eastAsia="Calibri"/>
          <w:color w:val="1F2937"/>
          <w:sz w:val="22"/>
        </w:rPr>
        <w:t xml:space="preserve"> consulta el endpoint de verificación para comprobantes fiscales.</w:t>
      </w:r>
    </w:p>
    <w:p>
      <w:pPr>
        <w:jc w:val="both"/>
      </w:pPr>
      <w:r>
        <w:rPr>
          <w:rFonts w:ascii="Calibri" w:hAnsi="Calibri" w:eastAsia="Calibri"/>
          <w:color w:val="1F2937"/>
          <w:sz w:val="22"/>
        </w:rPr>
        <w:t xml:space="preserve">Remitos siguen una salida especializada mediante </w:t>
      </w:r>
      <w:r>
        <w:rPr>
          <w:rFonts w:ascii="Consolas" w:hAnsi="Consolas" w:eastAsia="Consolas"/>
          <w:color w:val="1F2937"/>
          <w:sz w:val="20"/>
        </w:rPr>
        <w:t>validarRemito</w:t>
      </w:r>
      <w:r>
        <w:rPr>
          <w:rFonts w:ascii="Calibri" w:hAnsi="Calibri" w:eastAsia="Calibri"/>
          <w:color w:val="1F2937"/>
          <w:sz w:val="22"/>
        </w:rPr>
        <w:t xml:space="preserve">: proveedor, numeración, fecha, sucursal, depósito y artículos reales válidos. Después de reunir los errores, </w:t>
      </w:r>
      <w:r>
        <w:rPr>
          <w:rFonts w:ascii="Consolas" w:hAnsi="Consolas" w:eastAsia="Consolas"/>
          <w:color w:val="1F2937"/>
          <w:sz w:val="20"/>
        </w:rPr>
        <w:t>validar</w:t>
      </w:r>
      <w:r>
        <w:rPr>
          <w:rFonts w:ascii="Calibri" w:hAnsi="Calibri" w:eastAsia="Calibri"/>
          <w:color w:val="1F2937"/>
          <w:sz w:val="22"/>
        </w:rPr>
        <w:t xml:space="preserve"> ejecuta </w:t>
      </w:r>
      <w:r>
        <w:rPr>
          <w:rFonts w:ascii="Consolas" w:hAnsi="Consolas" w:eastAsia="Consolas"/>
          <w:color w:val="1F2937"/>
          <w:sz w:val="20"/>
        </w:rPr>
        <w:t>setErrores</w:t>
      </w:r>
      <w:r>
        <w:rPr>
          <w:rFonts w:ascii="Calibri" w:hAnsi="Calibri" w:eastAsia="Calibri"/>
          <w:color w:val="1F2937"/>
          <w:sz w:val="22"/>
        </w:rPr>
        <w:t xml:space="preserve"> y devuelve un booleano.</w:t>
      </w:r>
    </w:p>
    <w:p>
      <w:pPr>
        <w:jc w:val="both"/>
      </w:pPr>
      <w:r>
        <w:rPr>
          <w:rFonts w:ascii="Calibri" w:hAnsi="Calibri" w:eastAsia="Calibri"/>
          <w:color w:val="1F2937"/>
          <w:sz w:val="22"/>
        </w:rPr>
        <w:t xml:space="preserve">Los mensajes locales permanecen asociados a cada campo mediante </w:t>
      </w:r>
      <w:r>
        <w:rPr>
          <w:rFonts w:ascii="Consolas" w:hAnsi="Consolas" w:eastAsia="Consolas"/>
          <w:color w:val="1F2937"/>
          <w:sz w:val="20"/>
        </w:rPr>
        <w:t>errores</w:t>
      </w:r>
      <w:r>
        <w:rPr>
          <w:rFonts w:ascii="Calibri" w:hAnsi="Calibri" w:eastAsia="Calibri"/>
          <w:color w:val="1F2937"/>
          <w:sz w:val="22"/>
        </w:rPr>
        <w:t xml:space="preserve"> y </w:t>
      </w:r>
      <w:r>
        <w:rPr>
          <w:rFonts w:ascii="Consolas" w:hAnsi="Consolas" w:eastAsia="Consolas"/>
          <w:color w:val="1F2937"/>
          <w:sz w:val="20"/>
        </w:rPr>
        <w:t>ErrMsg</w:t>
      </w:r>
      <w:r>
        <w:rPr>
          <w:rFonts w:ascii="Calibri" w:hAnsi="Calibri" w:eastAsia="Calibri"/>
          <w:color w:val="1F2937"/>
          <w:sz w:val="22"/>
        </w:rPr>
        <w:t xml:space="preserve">. Cuando el resultado es inválido, </w:t>
      </w:r>
      <w:r>
        <w:rPr>
          <w:rFonts w:ascii="Consolas" w:hAnsi="Consolas" w:eastAsia="Consolas"/>
          <w:color w:val="1F2937"/>
          <w:sz w:val="20"/>
        </w:rPr>
        <w:t>handleConfirmar</w:t>
      </w:r>
      <w:r>
        <w:rPr>
          <w:rFonts w:ascii="Calibri" w:hAnsi="Calibri" w:eastAsia="Calibri"/>
          <w:color w:val="1F2937"/>
          <w:sz w:val="22"/>
        </w:rPr>
        <w:t xml:space="preserve"> agrega el toast “Revisá los campos marcados antes de confirmar”. El toast complementa la ubicación precisa de los errores; no los reemplaza ni altera las reglas.</w:t>
      </w:r>
    </w:p>
    <w:p>
      <w:pPr>
        <w:pStyle w:val="Heading1"/>
      </w:pPr>
      <w:r>
        <w:rPr>
          <w:rFonts w:ascii="Calibri" w:hAnsi="Calibri" w:eastAsia="Calibri"/>
          <w:color w:val="1F2937"/>
          <w:sz w:val="32"/>
        </w:rPr>
        <w:t>10. Suma calculada</w:t>
      </w:r>
    </w:p>
    <w:p>
      <w:pPr>
        <w:jc w:val="both"/>
      </w:pPr>
      <w:r>
        <w:rPr>
          <w:rFonts w:ascii="Calibri" w:hAnsi="Calibri" w:eastAsia="Calibri"/>
          <w:color w:val="1F2937"/>
          <w:sz w:val="22"/>
        </w:rPr>
        <w:t>La fuente efectiva depende del modo:</w:t>
      </w:r>
    </w:p>
    <w:p>
      <w:pPr>
        <w:pStyle w:val="ListBullet"/>
      </w:pPr>
      <w:r>
        <w:rPr>
          <w:rFonts w:ascii="Calibri" w:hAnsi="Calibri" w:eastAsia="Calibri"/>
          <w:color w:val="1F2937"/>
          <w:sz w:val="22"/>
        </w:rPr>
        <w:t xml:space="preserve">Detallado: </w:t>
      </w:r>
      <w:r>
        <w:rPr>
          <w:rFonts w:ascii="Consolas" w:hAnsi="Consolas" w:eastAsia="Consolas"/>
          <w:color w:val="1F2937"/>
          <w:sz w:val="20"/>
        </w:rPr>
        <w:t>baseEfectiva = subtotalNeto</w:t>
      </w:r>
      <w:r>
        <w:rPr>
          <w:rFonts w:ascii="Calibri" w:hAnsi="Calibri" w:eastAsia="Calibri"/>
          <w:color w:val="1F2937"/>
          <w:sz w:val="22"/>
        </w:rPr>
        <w:t xml:space="preserve"> e </w:t>
      </w:r>
      <w:r>
        <w:rPr>
          <w:rFonts w:ascii="Consolas" w:hAnsi="Consolas" w:eastAsia="Consolas"/>
          <w:color w:val="1F2937"/>
          <w:sz w:val="20"/>
        </w:rPr>
        <w:t>ivaEfectivo = totalIvaItems</w:t>
      </w:r>
      <w:r>
        <w:rPr>
          <w:rFonts w:ascii="Calibri" w:hAnsi="Calibri" w:eastAsia="Calibri"/>
          <w:color w:val="1F2937"/>
          <w:sz w:val="22"/>
        </w:rPr>
        <w:t xml:space="preserve">, sumado directamente desde </w:t>
      </w:r>
      <w:r>
        <w:rPr>
          <w:rFonts w:ascii="Consolas" w:hAnsi="Consolas" w:eastAsia="Consolas"/>
          <w:color w:val="1F2937"/>
          <w:sz w:val="20"/>
        </w:rPr>
        <w:t>item.importe_iva</w:t>
      </w:r>
      <w:r>
        <w:rPr>
          <w:rFonts w:ascii="Calibri" w:hAnsi="Calibri" w:eastAsia="Calibri"/>
          <w:color w:val="1F2937"/>
          <w:sz w:val="22"/>
        </w:rPr>
        <w:t>.</w:t>
      </w:r>
    </w:p>
    <w:p>
      <w:pPr>
        <w:pStyle w:val="ListBullet"/>
      </w:pPr>
      <w:r>
        <w:rPr>
          <w:rFonts w:ascii="Calibri" w:hAnsi="Calibri" w:eastAsia="Calibri"/>
          <w:color w:val="1F2937"/>
          <w:sz w:val="22"/>
        </w:rPr>
        <w:t xml:space="preserve">Simplificado: </w:t>
      </w:r>
      <w:r>
        <w:rPr>
          <w:rFonts w:ascii="Consolas" w:hAnsi="Consolas" w:eastAsia="Consolas"/>
          <w:color w:val="1F2937"/>
          <w:sz w:val="20"/>
        </w:rPr>
        <w:t>baseEfectiva = totalBaseFilas</w:t>
      </w:r>
      <w:r>
        <w:rPr>
          <w:rFonts w:ascii="Calibri" w:hAnsi="Calibri" w:eastAsia="Calibri"/>
          <w:color w:val="1F2937"/>
          <w:sz w:val="22"/>
        </w:rPr>
        <w:t xml:space="preserve"> e </w:t>
      </w:r>
      <w:r>
        <w:rPr>
          <w:rFonts w:ascii="Consolas" w:hAnsi="Consolas" w:eastAsia="Consolas"/>
          <w:color w:val="1F2937"/>
          <w:sz w:val="20"/>
        </w:rPr>
        <w:t>ivaEfectivo = totalIvaFilas</w:t>
      </w:r>
      <w:r>
        <w:rPr>
          <w:rFonts w:ascii="Calibri" w:hAnsi="Calibri" w:eastAsia="Calibri"/>
          <w:color w:val="1F2937"/>
          <w:sz w:val="22"/>
        </w:rPr>
        <w:t>.</w:t>
      </w:r>
    </w:p>
    <w:p>
      <w:pPr>
        <w:jc w:val="both"/>
      </w:pPr>
      <w:r>
        <w:rPr>
          <w:rFonts w:ascii="Calibri" w:hAnsi="Calibri" w:eastAsia="Calibri"/>
          <w:color w:val="1F2937"/>
          <w:sz w:val="22"/>
        </w:rPr>
        <w:t>La fórmula vigente agrega a esa base e IVA el tratamiento efectivo de ICL/IDC o Impuesto Interno y las percepciones de IIBB y municipales:</w:t>
      </w:r>
    </w:p>
    <w:p>
      <w:pPr>
        <w:spacing w:before="80" w:after="120" w:line="240" w:lineRule="auto"/>
        <w:ind w:left="227" w:right="227"/>
        <w:shd w:fill="F2F4F7"/>
      </w:pPr>
      <w:r>
        <w:rPr>
          <w:rFonts w:ascii="Consolas" w:hAnsi="Consolas" w:eastAsia="Consolas"/>
          <w:color w:val="1F2937"/>
          <w:sz w:val="20"/>
        </w:rPr>
        <w:t>sumaCalculada =</w:t>
      </w:r>
      <w:r>
        <w:br/>
      </w:r>
      <w:r>
        <w:rPr>
          <w:rFonts w:ascii="Consolas" w:hAnsi="Consolas" w:eastAsia="Consolas"/>
          <w:color w:val="1F2937"/>
          <w:sz w:val="20"/>
        </w:rPr>
        <w:t xml:space="preserve">  base efectiva</w:t>
      </w:r>
      <w:r>
        <w:br/>
      </w:r>
      <w:r>
        <w:rPr>
          <w:rFonts w:ascii="Consolas" w:hAnsi="Consolas" w:eastAsia="Consolas"/>
          <w:color w:val="1F2937"/>
          <w:sz w:val="20"/>
        </w:rPr>
        <w:t xml:space="preserve">  + IVA efectivo</w:t>
      </w:r>
      <w:r>
        <w:br/>
      </w:r>
      <w:r>
        <w:rPr>
          <w:rFonts w:ascii="Consolas" w:hAnsi="Consolas" w:eastAsia="Consolas"/>
          <w:color w:val="1F2937"/>
          <w:sz w:val="20"/>
        </w:rPr>
        <w:t xml:space="preserve">  + ICL + IDC</w:t>
      </w:r>
      <w:r>
        <w:br/>
      </w:r>
      <w:r>
        <w:rPr>
          <w:rFonts w:ascii="Consolas" w:hAnsi="Consolas" w:eastAsia="Consolas"/>
          <w:color w:val="1F2937"/>
          <w:sz w:val="20"/>
        </w:rPr>
        <w:t xml:space="preserve">  + Impuesto Interno cuando no está representado por ICL/IDC</w:t>
      </w:r>
      <w:r>
        <w:br/>
      </w:r>
      <w:r>
        <w:rPr>
          <w:rFonts w:ascii="Consolas" w:hAnsi="Consolas" w:eastAsia="Consolas"/>
          <w:color w:val="1F2937"/>
          <w:sz w:val="20"/>
        </w:rPr>
        <w:t xml:space="preserve">  + percepción IIBB</w:t>
      </w:r>
      <w:r>
        <w:br/>
      </w:r>
      <w:r>
        <w:rPr>
          <w:rFonts w:ascii="Consolas" w:hAnsi="Consolas" w:eastAsia="Consolas"/>
          <w:color w:val="1F2937"/>
          <w:sz w:val="20"/>
        </w:rPr>
        <w:t xml:space="preserve">  + percepción municipal</w:t>
      </w:r>
    </w:p>
    <w:p>
      <w:pPr>
        <w:jc w:val="both"/>
      </w:pPr>
      <w:r>
        <w:rPr>
          <w:rFonts w:ascii="Calibri" w:hAnsi="Calibri" w:eastAsia="Calibri"/>
          <w:color w:val="1F2937"/>
          <w:sz w:val="22"/>
        </w:rPr>
        <w:t xml:space="preserve">En detallado, depender de </w:t>
      </w:r>
      <w:r>
        <w:rPr>
          <w:rFonts w:ascii="Consolas" w:hAnsi="Consolas" w:eastAsia="Consolas"/>
          <w:color w:val="1F2937"/>
          <w:sz w:val="20"/>
        </w:rPr>
        <w:t>ivaFilas</w:t>
      </w:r>
      <w:r>
        <w:rPr>
          <w:rFonts w:ascii="Calibri" w:hAnsi="Calibri" w:eastAsia="Calibri"/>
          <w:color w:val="1F2937"/>
          <w:sz w:val="22"/>
        </w:rPr>
        <w:t xml:space="preserve"> para la suma principal introducía una ventana en la que el efecto encargado de sincronizar ese estado podía no haber reflejado todavía el último cambio de ítems. Calcular desde los ítems reduce ese riesgo. En simplificado, las filas son la entrada primaria y por eso continúan siendo la fuente adecuada.</w:t>
      </w:r>
    </w:p>
    <w:p>
      <w:pPr>
        <w:pStyle w:val="Heading1"/>
      </w:pPr>
      <w:r>
        <w:rPr>
          <w:rFonts w:ascii="Calibri" w:hAnsi="Calibri" w:eastAsia="Calibri"/>
          <w:color w:val="1F2937"/>
          <w:sz w:val="32"/>
        </w:rPr>
        <w:t>11. Control del Total Factura</w:t>
      </w:r>
    </w:p>
    <w:p>
      <w:pPr>
        <w:jc w:val="both"/>
      </w:pPr>
      <w:r>
        <w:rPr>
          <w:rFonts w:ascii="Consolas" w:hAnsi="Consolas" w:eastAsia="Consolas"/>
          <w:color w:val="1F2937"/>
          <w:sz w:val="20"/>
        </w:rPr>
        <w:t>totalManual</w:t>
      </w:r>
      <w:r>
        <w:rPr>
          <w:rFonts w:ascii="Calibri" w:hAnsi="Calibri" w:eastAsia="Calibri"/>
          <w:color w:val="1F2937"/>
          <w:sz w:val="22"/>
        </w:rPr>
        <w:t xml:space="preserve"> representa el campo “Total factura” de Facturas y Notas de Crédito con ítems. Es obligatorio y debe ser finito y mayor que cero. Luego se compara contra </w:t>
      </w:r>
      <w:r>
        <w:rPr>
          <w:rFonts w:ascii="Consolas" w:hAnsi="Consolas" w:eastAsia="Consolas"/>
          <w:color w:val="1F2937"/>
          <w:sz w:val="20"/>
        </w:rPr>
        <w:t>sumaCalculada</w:t>
      </w:r>
      <w:r>
        <w:rPr>
          <w:rFonts w:ascii="Calibri" w:hAnsi="Calibri" w:eastAsia="Calibri"/>
          <w:color w:val="1F2937"/>
          <w:sz w:val="22"/>
        </w:rPr>
        <w:t>:</w:t>
      </w:r>
    </w:p>
    <w:p>
      <w:pPr>
        <w:spacing w:before="80" w:after="120" w:line="240" w:lineRule="auto"/>
        <w:ind w:left="227" w:right="227"/>
        <w:shd w:fill="F2F4F7"/>
      </w:pPr>
      <w:r>
        <w:rPr>
          <w:rFonts w:ascii="Consolas" w:hAnsi="Consolas" w:eastAsia="Consolas"/>
          <w:color w:val="1F2937"/>
          <w:sz w:val="20"/>
        </w:rPr>
        <w:t>abs(totalManual - sumaCalculada) &lt;= 0,05</w:t>
      </w:r>
    </w:p>
    <w:p>
      <w:pPr>
        <w:jc w:val="both"/>
      </w:pPr>
      <w:r>
        <w:rPr>
          <w:rFonts w:ascii="Calibri" w:hAnsi="Calibri" w:eastAsia="Calibri"/>
          <w:color w:val="1F2937"/>
          <w:sz w:val="22"/>
        </w:rPr>
        <w:t>Una diferencia absoluta mayor que 0,05 genera un error local y bloquea la confirmación. La tolerancia absorbe diferencias menores de redondeo sin convertir el control en una igualdad binaria de punto flotante.</w:t>
      </w:r>
    </w:p>
    <w:p>
      <w:pPr>
        <w:jc w:val="both"/>
      </w:pPr>
      <w:r>
        <w:rPr>
          <w:rFonts w:ascii="Calibri" w:hAnsi="Calibri" w:eastAsia="Calibri"/>
          <w:color w:val="1F2937"/>
          <w:sz w:val="22"/>
        </w:rPr>
        <w:t xml:space="preserve">Funcionalmente, Total Factura es la referencia externa contra el documento físico o informado por el proveedor. No es un sustituto del cálculo ni se usa para corregirlo silenciosamente. Tampoco se aplica a Remitos no valorizados y no debe confundirse con </w:t>
      </w:r>
      <w:r>
        <w:rPr>
          <w:rFonts w:ascii="Consolas" w:hAnsi="Consolas" w:eastAsia="Consolas"/>
          <w:color w:val="1F2937"/>
          <w:sz w:val="20"/>
        </w:rPr>
        <w:t>importeTotal</w:t>
      </w:r>
      <w:r>
        <w:rPr>
          <w:rFonts w:ascii="Calibri" w:hAnsi="Calibri" w:eastAsia="Calibri"/>
          <w:color w:val="1F2937"/>
          <w:sz w:val="22"/>
        </w:rPr>
        <w:t>, que corresponde a Notas de Débito o notas internas sin ítems.</w:t>
      </w:r>
    </w:p>
    <w:p>
      <w:pPr>
        <w:pStyle w:val="Heading1"/>
        <w:pageBreakBefore/>
      </w:pPr>
      <w:r>
        <w:rPr>
          <w:rFonts w:ascii="Calibri" w:hAnsi="Calibri" w:eastAsia="Calibri"/>
          <w:color w:val="1F2937"/>
          <w:sz w:val="32"/>
        </w:rPr>
        <w:t>12. Flujo de Remitos</w:t>
      </w:r>
    </w:p>
    <w:p>
      <w:pPr>
        <w:jc w:val="both"/>
      </w:pPr>
      <w:r>
        <w:rPr>
          <w:rFonts w:ascii="Calibri" w:hAnsi="Calibri" w:eastAsia="Calibri"/>
          <w:color w:val="1F2937"/>
          <w:sz w:val="22"/>
        </w:rPr>
        <w:t>La categoría Remito activa el encabezado “Nuevo remito”, la sección “Datos del remito”, la grilla “Mercadería recibida”, la sección “Recepción” y la acción “Confirmar remito”. Solicita proveedor, punto de venta, número, fecha, sucursal, depósito y al menos un artículo real.</w:t>
      </w:r>
    </w:p>
    <w:p>
      <w:pPr>
        <w:jc w:val="both"/>
      </w:pPr>
      <w:r>
        <w:rPr>
          <w:rFonts w:ascii="Calibri" w:hAnsi="Calibri" w:eastAsia="Calibri"/>
          <w:color w:val="1F2937"/>
          <w:sz w:val="22"/>
        </w:rPr>
        <w:t>No presenta vencimiento, período fiscal, IVA, percepciones, tributos, Total Factura ni suma calculada. Tampoco permite modo simplificado o conceptos manuales. La recepción indica que la actualización de stock es obligatoria.</w:t>
      </w:r>
    </w:p>
    <w:p>
      <w:pPr>
        <w:jc w:val="both"/>
      </w:pPr>
      <w:r>
        <w:rPr>
          <w:rFonts w:ascii="Calibri" w:hAnsi="Calibri" w:eastAsia="Calibri"/>
          <w:color w:val="1F2937"/>
          <w:sz w:val="22"/>
        </w:rPr>
        <w:t xml:space="preserve">Tras la validación se construye un payload propio y se envía exclusivamente a </w:t>
      </w:r>
      <w:r>
        <w:rPr>
          <w:rFonts w:ascii="Consolas" w:hAnsi="Consolas" w:eastAsia="Consolas"/>
          <w:color w:val="1F2937"/>
          <w:sz w:val="20"/>
        </w:rPr>
        <w:t>POST /api/remitos/registrar</w:t>
      </w:r>
      <w:r>
        <w:rPr>
          <w:rFonts w:ascii="Calibri" w:hAnsi="Calibri" w:eastAsia="Calibri"/>
          <w:color w:val="1F2937"/>
          <w:sz w:val="22"/>
        </w:rPr>
        <w:t xml:space="preserve">. Los ítems incluyen identificación HFSQL, código, descripción, cantidad y costo opcional cuando existe. Este flujo no reutiliza </w:t>
      </w:r>
      <w:r>
        <w:rPr>
          <w:rFonts w:ascii="Consolas" w:hAnsi="Consolas" w:eastAsia="Consolas"/>
          <w:color w:val="1F2937"/>
          <w:sz w:val="20"/>
        </w:rPr>
        <w:t>POST /api/comprobantes/registrar</w:t>
      </w:r>
      <w:r>
        <w:rPr>
          <w:rFonts w:ascii="Calibri" w:hAnsi="Calibri" w:eastAsia="Calibri"/>
          <w:color w:val="1F2937"/>
          <w:sz w:val="22"/>
        </w:rPr>
        <w:t>.</w:t>
      </w:r>
    </w:p>
    <w:p>
      <w:pPr>
        <w:jc w:val="both"/>
      </w:pPr>
      <w:r>
        <w:rPr>
          <w:rFonts w:ascii="Calibri" w:hAnsi="Calibri" w:eastAsia="Calibri"/>
          <w:color w:val="1F2937"/>
          <w:sz w:val="22"/>
        </w:rPr>
        <w:t xml:space="preserve">La respuesta exitosa requiere </w:t>
      </w:r>
      <w:r>
        <w:rPr>
          <w:rFonts w:ascii="Consolas" w:hAnsi="Consolas" w:eastAsia="Consolas"/>
          <w:color w:val="1F2937"/>
          <w:sz w:val="20"/>
        </w:rPr>
        <w:t>ok</w:t>
      </w:r>
      <w:r>
        <w:rPr>
          <w:rFonts w:ascii="Calibri" w:hAnsi="Calibri" w:eastAsia="Calibri"/>
          <w:color w:val="1F2937"/>
          <w:sz w:val="22"/>
        </w:rPr>
        <w:t xml:space="preserve"> e id del Remito. El frontend presenta el identificador y, cuando está disponible, </w:t>
      </w:r>
      <w:r>
        <w:rPr>
          <w:rFonts w:ascii="Consolas" w:hAnsi="Consolas" w:eastAsia="Consolas"/>
          <w:color w:val="1F2937"/>
          <w:sz w:val="20"/>
        </w:rPr>
        <w:t>operacionID</w:t>
      </w:r>
      <w:r>
        <w:rPr>
          <w:rFonts w:ascii="Calibri" w:hAnsi="Calibri" w:eastAsia="Calibri"/>
          <w:color w:val="1F2937"/>
          <w:sz w:val="22"/>
        </w:rPr>
        <w:t xml:space="preserve">, utilizado por el contrato de integración e idempotencia. En errores se prioriza </w:t>
      </w:r>
      <w:r>
        <w:rPr>
          <w:rFonts w:ascii="Consolas" w:hAnsi="Consolas" w:eastAsia="Consolas"/>
          <w:color w:val="1F2937"/>
          <w:sz w:val="20"/>
        </w:rPr>
        <w:t>detalle</w:t>
      </w:r>
      <w:r>
        <w:rPr>
          <w:rFonts w:ascii="Calibri" w:hAnsi="Calibri" w:eastAsia="Calibri"/>
          <w:color w:val="1F2937"/>
          <w:sz w:val="22"/>
        </w:rPr>
        <w:t xml:space="preserve">, luego </w:t>
      </w:r>
      <w:r>
        <w:rPr>
          <w:rFonts w:ascii="Consolas" w:hAnsi="Consolas" w:eastAsia="Consolas"/>
          <w:color w:val="1F2937"/>
          <w:sz w:val="20"/>
        </w:rPr>
        <w:t>error</w:t>
      </w:r>
      <w:r>
        <w:rPr>
          <w:rFonts w:ascii="Calibri" w:hAnsi="Calibri" w:eastAsia="Calibri"/>
          <w:color w:val="1F2937"/>
          <w:sz w:val="22"/>
        </w:rPr>
        <w:t xml:space="preserve"> y finalmente un mensaje HTTP genérico. Los </w:t>
      </w:r>
      <w:r>
        <w:rPr>
          <w:rFonts w:ascii="Consolas" w:hAnsi="Consolas" w:eastAsia="Consolas"/>
          <w:color w:val="1F2937"/>
          <w:sz w:val="20"/>
        </w:rPr>
        <w:t>alert</w:t>
      </w:r>
      <w:r>
        <w:rPr>
          <w:rFonts w:ascii="Calibri" w:hAnsi="Calibri" w:eastAsia="Calibri"/>
          <w:color w:val="1F2937"/>
          <w:sz w:val="22"/>
        </w:rPr>
        <w:t xml:space="preserve"> de resultado todavía permanecen.</w:t>
      </w:r>
    </w:p>
    <w:p>
      <w:pPr>
        <w:jc w:val="both"/>
      </w:pPr>
      <w:r>
        <w:rPr>
          <w:rFonts w:ascii="Calibri" w:hAnsi="Calibri" w:eastAsia="Calibri"/>
          <w:color w:val="1F2937"/>
          <w:sz w:val="22"/>
        </w:rPr>
        <w:t xml:space="preserve">Después del éxito se ejecuta </w:t>
      </w:r>
      <w:r>
        <w:rPr>
          <w:rFonts w:ascii="Consolas" w:hAnsi="Consolas" w:eastAsia="Consolas"/>
          <w:color w:val="1F2937"/>
          <w:sz w:val="20"/>
        </w:rPr>
        <w:t>onCancelar</w:t>
      </w:r>
      <w:r>
        <w:rPr>
          <w:rFonts w:ascii="Calibri" w:hAnsi="Calibri" w:eastAsia="Calibri"/>
          <w:color w:val="1F2937"/>
          <w:sz w:val="22"/>
        </w:rPr>
        <w:t>, que devuelve la vista a la lista. Permanecen fuera del alcance actual la asociación con Facturas y Órdenes de Compra, la reversa de stock, la compensación o reintento automático ante resultados inciertos y la confirmación definitiva del mapeo del id de artículo.</w:t>
      </w:r>
    </w:p>
    <w:p>
      <w:pPr>
        <w:pStyle w:val="Heading1"/>
      </w:pPr>
      <w:r>
        <w:rPr>
          <w:rFonts w:ascii="Calibri" w:hAnsi="Calibri" w:eastAsia="Calibri"/>
          <w:color w:val="1F2937"/>
          <w:sz w:val="32"/>
        </w:rPr>
        <w:t>13. Feedback global con SESToast</w:t>
      </w:r>
    </w:p>
    <w:p>
      <w:pPr>
        <w:jc w:val="both"/>
      </w:pPr>
      <w:r>
        <w:rPr>
          <w:rFonts w:ascii="Calibri" w:hAnsi="Calibri" w:eastAsia="Calibri"/>
          <w:color w:val="1F2937"/>
          <w:sz w:val="22"/>
        </w:rPr>
        <w:t>La infraestructura está formada por:</w:t>
      </w:r>
    </w:p>
    <w:p>
      <w:pPr>
        <w:pStyle w:val="ListBullet"/>
      </w:pPr>
      <w:r>
        <w:rPr>
          <w:rFonts w:ascii="Consolas" w:hAnsi="Consolas" w:eastAsia="Consolas"/>
          <w:color w:val="1F2937"/>
          <w:sz w:val="20"/>
        </w:rPr>
        <w:t>sesToastContext</w:t>
      </w:r>
      <w:r>
        <w:rPr>
          <w:rFonts w:ascii="Calibri" w:hAnsi="Calibri" w:eastAsia="Calibri"/>
          <w:color w:val="1F2937"/>
          <w:sz w:val="22"/>
        </w:rPr>
        <w:t>: única instancia de React Context.</w:t>
      </w:r>
    </w:p>
    <w:p>
      <w:pPr>
        <w:pStyle w:val="ListBullet"/>
      </w:pPr>
      <w:r>
        <w:rPr>
          <w:rFonts w:ascii="Consolas" w:hAnsi="Consolas" w:eastAsia="Consolas"/>
          <w:color w:val="1F2937"/>
          <w:sz w:val="20"/>
        </w:rPr>
        <w:t>useSESToast</w:t>
      </w:r>
      <w:r>
        <w:rPr>
          <w:rFonts w:ascii="Calibri" w:hAnsi="Calibri" w:eastAsia="Calibri"/>
          <w:color w:val="1F2937"/>
          <w:sz w:val="22"/>
        </w:rPr>
        <w:t>: acceso controlado al contexto; falla explícitamente fuera del provider.</w:t>
      </w:r>
    </w:p>
    <w:p>
      <w:pPr>
        <w:pStyle w:val="ListBullet"/>
      </w:pPr>
      <w:r>
        <w:rPr>
          <w:rFonts w:ascii="Consolas" w:hAnsi="Consolas" w:eastAsia="Consolas"/>
          <w:color w:val="1F2937"/>
          <w:sz w:val="20"/>
        </w:rPr>
        <w:t>SESToastProvider</w:t>
      </w:r>
      <w:r>
        <w:rPr>
          <w:rFonts w:ascii="Calibri" w:hAnsi="Calibri" w:eastAsia="Calibri"/>
          <w:color w:val="1F2937"/>
          <w:sz w:val="22"/>
        </w:rPr>
        <w:t>: administra estado, identificadores, temporizadores y render global.</w:t>
      </w:r>
    </w:p>
    <w:p>
      <w:pPr>
        <w:pStyle w:val="ListBullet"/>
      </w:pPr>
      <w:r>
        <w:rPr>
          <w:rFonts w:ascii="Consolas" w:hAnsi="Consolas" w:eastAsia="Consolas"/>
          <w:color w:val="1F2937"/>
          <w:sz w:val="20"/>
        </w:rPr>
        <w:t>SESToast</w:t>
      </w:r>
      <w:r>
        <w:rPr>
          <w:rFonts w:ascii="Calibri" w:hAnsi="Calibri" w:eastAsia="Calibri"/>
          <w:color w:val="1F2937"/>
          <w:sz w:val="22"/>
        </w:rPr>
        <w:t>: presenta mensaje, variante y cierre manual.</w:t>
      </w:r>
    </w:p>
    <w:p>
      <w:pPr>
        <w:jc w:val="both"/>
      </w:pPr>
      <w:r>
        <w:rPr>
          <w:rFonts w:ascii="Consolas" w:hAnsi="Consolas" w:eastAsia="Consolas"/>
          <w:color w:val="1F2937"/>
          <w:sz w:val="20"/>
        </w:rPr>
        <w:t>main.jsx</w:t>
      </w:r>
      <w:r>
        <w:rPr>
          <w:rFonts w:ascii="Calibri" w:hAnsi="Calibri" w:eastAsia="Calibri"/>
          <w:color w:val="1F2937"/>
          <w:sz w:val="22"/>
        </w:rPr>
        <w:t xml:space="preserve"> monta </w:t>
      </w:r>
      <w:r>
        <w:rPr>
          <w:rFonts w:ascii="Consolas" w:hAnsi="Consolas" w:eastAsia="Consolas"/>
          <w:color w:val="1F2937"/>
          <w:sz w:val="20"/>
        </w:rPr>
        <w:t>SESToastProvider</w:t>
      </w:r>
      <w:r>
        <w:rPr>
          <w:rFonts w:ascii="Calibri" w:hAnsi="Calibri" w:eastAsia="Calibri"/>
          <w:color w:val="1F2937"/>
          <w:sz w:val="22"/>
        </w:rPr>
        <w:t xml:space="preserve"> alrededor de </w:t>
      </w:r>
      <w:r>
        <w:rPr>
          <w:rFonts w:ascii="Consolas" w:hAnsi="Consolas" w:eastAsia="Consolas"/>
          <w:color w:val="1F2937"/>
          <w:sz w:val="20"/>
        </w:rPr>
        <w:t>App</w:t>
      </w:r>
      <w:r>
        <w:rPr>
          <w:rFonts w:ascii="Calibri" w:hAnsi="Calibri" w:eastAsia="Calibri"/>
          <w:color w:val="1F2937"/>
          <w:sz w:val="22"/>
        </w:rPr>
        <w:t xml:space="preserve">, dentro de </w:t>
      </w:r>
      <w:r>
        <w:rPr>
          <w:rFonts w:ascii="Consolas" w:hAnsi="Consolas" w:eastAsia="Consolas"/>
          <w:color w:val="1F2937"/>
          <w:sz w:val="20"/>
        </w:rPr>
        <w:t>QueryClientProvider</w:t>
      </w:r>
      <w:r>
        <w:rPr>
          <w:rFonts w:ascii="Calibri" w:hAnsi="Calibri" w:eastAsia="Calibri"/>
          <w:color w:val="1F2937"/>
          <w:sz w:val="22"/>
        </w:rPr>
        <w:t>, por lo que el feedback está disponible en las rutas descendientes. La API conceptual es:</w:t>
      </w:r>
    </w:p>
    <w:p>
      <w:pPr>
        <w:spacing w:before="80" w:after="120" w:line="240" w:lineRule="auto"/>
        <w:ind w:left="227" w:right="227"/>
        <w:shd w:fill="F2F4F7"/>
      </w:pPr>
      <w:r>
        <w:rPr>
          <w:rFonts w:ascii="Consolas" w:hAnsi="Consolas" w:eastAsia="Consolas"/>
          <w:color w:val="1F2937"/>
          <w:sz w:val="20"/>
        </w:rPr>
        <w:t>showToast({ type, message, duration })</w:t>
      </w:r>
    </w:p>
    <w:p>
      <w:pPr>
        <w:jc w:val="both"/>
      </w:pPr>
      <w:r>
        <w:rPr>
          <w:rFonts w:ascii="Calibri" w:hAnsi="Calibri" w:eastAsia="Calibri"/>
          <w:color w:val="1F2937"/>
          <w:sz w:val="22"/>
        </w:rPr>
        <w:t xml:space="preserve">El provider admite </w:t>
      </w:r>
      <w:r>
        <w:rPr>
          <w:rFonts w:ascii="Consolas" w:hAnsi="Consolas" w:eastAsia="Consolas"/>
          <w:color w:val="1F2937"/>
          <w:sz w:val="20"/>
        </w:rPr>
        <w:t>error</w:t>
      </w:r>
      <w:r>
        <w:rPr>
          <w:rFonts w:ascii="Calibri" w:hAnsi="Calibri" w:eastAsia="Calibri"/>
          <w:color w:val="1F2937"/>
          <w:sz w:val="22"/>
        </w:rPr>
        <w:t xml:space="preserve">, </w:t>
      </w:r>
      <w:r>
        <w:rPr>
          <w:rFonts w:ascii="Consolas" w:hAnsi="Consolas" w:eastAsia="Consolas"/>
          <w:color w:val="1F2937"/>
          <w:sz w:val="20"/>
        </w:rPr>
        <w:t>success</w:t>
      </w:r>
      <w:r>
        <w:rPr>
          <w:rFonts w:ascii="Calibri" w:hAnsi="Calibri" w:eastAsia="Calibri"/>
          <w:color w:val="1F2937"/>
          <w:sz w:val="22"/>
        </w:rPr>
        <w:t xml:space="preserve">, </w:t>
      </w:r>
      <w:r>
        <w:rPr>
          <w:rFonts w:ascii="Consolas" w:hAnsi="Consolas" w:eastAsia="Consolas"/>
          <w:color w:val="1F2937"/>
          <w:sz w:val="20"/>
        </w:rPr>
        <w:t>warning</w:t>
      </w:r>
      <w:r>
        <w:rPr>
          <w:rFonts w:ascii="Calibri" w:hAnsi="Calibri" w:eastAsia="Calibri"/>
          <w:color w:val="1F2937"/>
          <w:sz w:val="22"/>
        </w:rPr>
        <w:t xml:space="preserve"> e </w:t>
      </w:r>
      <w:r>
        <w:rPr>
          <w:rFonts w:ascii="Consolas" w:hAnsi="Consolas" w:eastAsia="Consolas"/>
          <w:color w:val="1F2937"/>
          <w:sz w:val="20"/>
        </w:rPr>
        <w:t>info</w:t>
      </w:r>
      <w:r>
        <w:rPr>
          <w:rFonts w:ascii="Calibri" w:hAnsi="Calibri" w:eastAsia="Calibri"/>
          <w:color w:val="1F2937"/>
          <w:sz w:val="22"/>
        </w:rPr>
        <w:t xml:space="preserve">, usa 4500 ms como duración predeterminada y soporta varios mensajes. El contenedor está fijo a la derecha, a 96 px del borde superior, debajo de </w:t>
      </w:r>
      <w:r>
        <w:rPr>
          <w:rFonts w:ascii="Consolas" w:hAnsi="Consolas" w:eastAsia="Consolas"/>
          <w:color w:val="1F2937"/>
          <w:sz w:val="20"/>
        </w:rPr>
        <w:t>SESTopBar</w:t>
      </w:r>
      <w:r>
        <w:rPr>
          <w:rFonts w:ascii="Calibri" w:hAnsi="Calibri" w:eastAsia="Calibri"/>
          <w:color w:val="1F2937"/>
          <w:sz w:val="22"/>
        </w:rPr>
        <w:t>, con un z-index suficiente para no quedar confundido con la cabecera.</w:t>
      </w:r>
    </w:p>
    <w:p>
      <w:pPr>
        <w:jc w:val="both"/>
      </w:pPr>
      <w:r>
        <w:rPr>
          <w:rFonts w:ascii="Calibri" w:hAnsi="Calibri" w:eastAsia="Calibri"/>
          <w:color w:val="1F2937"/>
          <w:sz w:val="22"/>
        </w:rPr>
        <w:t xml:space="preserve">En </w:t>
      </w:r>
      <w:r>
        <w:rPr>
          <w:rFonts w:ascii="Consolas" w:hAnsi="Consolas" w:eastAsia="Consolas"/>
          <w:color w:val="1F2937"/>
          <w:sz w:val="20"/>
        </w:rPr>
        <w:t>NuevoComprobante</w:t>
      </w:r>
      <w:r>
        <w:rPr>
          <w:rFonts w:ascii="Calibri" w:hAnsi="Calibri" w:eastAsia="Calibri"/>
          <w:color w:val="1F2937"/>
          <w:sz w:val="22"/>
        </w:rPr>
        <w:t xml:space="preserve">, una validación inválida llama </w:t>
      </w:r>
      <w:r>
        <w:rPr>
          <w:rFonts w:ascii="Consolas" w:hAnsi="Consolas" w:eastAsia="Consolas"/>
          <w:color w:val="1F2937"/>
          <w:sz w:val="20"/>
        </w:rPr>
        <w:t>showToast</w:t>
      </w:r>
      <w:r>
        <w:rPr>
          <w:rFonts w:ascii="Calibri" w:hAnsi="Calibri" w:eastAsia="Calibri"/>
          <w:color w:val="1F2937"/>
          <w:sz w:val="22"/>
        </w:rPr>
        <w:t xml:space="preserve"> y conserva simultáneamente los errores locales. Esta infraestructura es reutilizable por otros módulos, pero los </w:t>
      </w:r>
      <w:r>
        <w:rPr>
          <w:rFonts w:ascii="Consolas" w:hAnsi="Consolas" w:eastAsia="Consolas"/>
          <w:color w:val="1F2937"/>
          <w:sz w:val="20"/>
        </w:rPr>
        <w:t>alert</w:t>
      </w:r>
      <w:r>
        <w:rPr>
          <w:rFonts w:ascii="Calibri" w:hAnsi="Calibri" w:eastAsia="Calibri"/>
          <w:color w:val="1F2937"/>
          <w:sz w:val="22"/>
        </w:rPr>
        <w:t xml:space="preserve"> de registro y conexión todavía no fueron migrados.</w:t>
      </w:r>
    </w:p>
    <w:p>
      <w:pPr>
        <w:pStyle w:val="Heading1"/>
      </w:pPr>
      <w:r>
        <w:rPr>
          <w:rFonts w:ascii="Calibri" w:hAnsi="Calibri" w:eastAsia="Calibri"/>
          <w:color w:val="1F2937"/>
          <w:sz w:val="32"/>
        </w:rPr>
        <w:t>14. Confirmación con SESConfirmDialog</w:t>
      </w:r>
    </w:p>
    <w:p>
      <w:pPr>
        <w:jc w:val="both"/>
      </w:pPr>
      <w:r>
        <w:rPr>
          <w:rFonts w:ascii="Consolas" w:hAnsi="Consolas" w:eastAsia="Consolas"/>
          <w:color w:val="1F2937"/>
          <w:sz w:val="20"/>
        </w:rPr>
        <w:t>SESConfirmDialog</w:t>
      </w:r>
      <w:r>
        <w:rPr>
          <w:rFonts w:ascii="Calibri" w:hAnsi="Calibri" w:eastAsia="Calibri"/>
          <w:color w:val="1F2937"/>
          <w:sz w:val="22"/>
        </w:rPr>
        <w:t xml:space="preserve"> pertenece a Feedback y expone la API controlada:</w:t>
      </w:r>
    </w:p>
    <w:p>
      <w:pPr>
        <w:spacing w:before="80" w:after="120" w:line="240" w:lineRule="auto"/>
        <w:ind w:left="227" w:right="227"/>
        <w:shd w:fill="F2F4F7"/>
      </w:pPr>
      <w:r>
        <w:rPr>
          <w:rFonts w:ascii="Consolas" w:hAnsi="Consolas" w:eastAsia="Consolas"/>
          <w:color w:val="1F2937"/>
          <w:sz w:val="20"/>
        </w:rPr>
        <w:t>&lt;SESConfirmDialog</w:t>
      </w:r>
      <w:r>
        <w:br/>
      </w:r>
      <w:r>
        <w:rPr>
          <w:rFonts w:ascii="Consolas" w:hAnsi="Consolas" w:eastAsia="Consolas"/>
          <w:color w:val="1F2937"/>
          <w:sz w:val="20"/>
        </w:rPr>
        <w:t xml:space="preserve">  open={boolean}</w:t>
      </w:r>
      <w:r>
        <w:br/>
      </w:r>
      <w:r>
        <w:rPr>
          <w:rFonts w:ascii="Consolas" w:hAnsi="Consolas" w:eastAsia="Consolas"/>
          <w:color w:val="1F2937"/>
          <w:sz w:val="20"/>
        </w:rPr>
        <w:t xml:space="preserve">  title={string}</w:t>
      </w:r>
      <w:r>
        <w:br/>
      </w:r>
      <w:r>
        <w:rPr>
          <w:rFonts w:ascii="Consolas" w:hAnsi="Consolas" w:eastAsia="Consolas"/>
          <w:color w:val="1F2937"/>
          <w:sz w:val="20"/>
        </w:rPr>
        <w:t xml:space="preserve">  message={string}</w:t>
      </w:r>
      <w:r>
        <w:br/>
      </w:r>
      <w:r>
        <w:rPr>
          <w:rFonts w:ascii="Consolas" w:hAnsi="Consolas" w:eastAsia="Consolas"/>
          <w:color w:val="1F2937"/>
          <w:sz w:val="20"/>
        </w:rPr>
        <w:t xml:space="preserve">  confirmLabel={string}</w:t>
      </w:r>
      <w:r>
        <w:br/>
      </w:r>
      <w:r>
        <w:rPr>
          <w:rFonts w:ascii="Consolas" w:hAnsi="Consolas" w:eastAsia="Consolas"/>
          <w:color w:val="1F2937"/>
          <w:sz w:val="20"/>
        </w:rPr>
        <w:t xml:space="preserve">  cancelLabel={string}</w:t>
      </w:r>
      <w:r>
        <w:br/>
      </w:r>
      <w:r>
        <w:rPr>
          <w:rFonts w:ascii="Consolas" w:hAnsi="Consolas" w:eastAsia="Consolas"/>
          <w:color w:val="1F2937"/>
          <w:sz w:val="20"/>
        </w:rPr>
        <w:t xml:space="preserve">  variant="default | danger"</w:t>
      </w:r>
      <w:r>
        <w:br/>
      </w:r>
      <w:r>
        <w:rPr>
          <w:rFonts w:ascii="Consolas" w:hAnsi="Consolas" w:eastAsia="Consolas"/>
          <w:color w:val="1F2937"/>
          <w:sz w:val="20"/>
        </w:rPr>
        <w:t xml:space="preserve">  loading={boolean}</w:t>
      </w:r>
      <w:r>
        <w:br/>
      </w:r>
      <w:r>
        <w:rPr>
          <w:rFonts w:ascii="Consolas" w:hAnsi="Consolas" w:eastAsia="Consolas"/>
          <w:color w:val="1F2937"/>
          <w:sz w:val="20"/>
        </w:rPr>
        <w:t xml:space="preserve">  onConfirm={function}</w:t>
      </w:r>
      <w:r>
        <w:br/>
      </w:r>
      <w:r>
        <w:rPr>
          <w:rFonts w:ascii="Consolas" w:hAnsi="Consolas" w:eastAsia="Consolas"/>
          <w:color w:val="1F2937"/>
          <w:sz w:val="20"/>
        </w:rPr>
        <w:t xml:space="preserve">  onCancel={function}</w:t>
      </w:r>
      <w:r>
        <w:br/>
      </w:r>
      <w:r>
        <w:rPr>
          <w:rFonts w:ascii="Consolas" w:hAnsi="Consolas" w:eastAsia="Consolas"/>
          <w:color w:val="1F2937"/>
          <w:sz w:val="20"/>
        </w:rPr>
        <w:t>/&gt;</w:t>
      </w:r>
    </w:p>
    <w:p>
      <w:pPr>
        <w:jc w:val="both"/>
      </w:pPr>
      <w:r>
        <w:rPr>
          <w:rFonts w:ascii="Calibri" w:hAnsi="Calibri" w:eastAsia="Calibri"/>
          <w:color w:val="1F2937"/>
          <w:sz w:val="22"/>
        </w:rPr>
        <w:t xml:space="preserve">Cuando </w:t>
      </w:r>
      <w:r>
        <w:rPr>
          <w:rFonts w:ascii="Consolas" w:hAnsi="Consolas" w:eastAsia="Consolas"/>
          <w:color w:val="1F2937"/>
          <w:sz w:val="20"/>
        </w:rPr>
        <w:t>open</w:t>
      </w:r>
      <w:r>
        <w:rPr>
          <w:rFonts w:ascii="Calibri" w:hAnsi="Calibri" w:eastAsia="Calibri"/>
          <w:color w:val="1F2937"/>
          <w:sz w:val="22"/>
        </w:rPr>
        <w:t xml:space="preserve"> es falso no renderiza contenido. Cuando es verdadero muestra overlay y panel centrado, reutiliza </w:t>
      </w:r>
      <w:r>
        <w:rPr>
          <w:rFonts w:ascii="Consolas" w:hAnsi="Consolas" w:eastAsia="Consolas"/>
          <w:color w:val="1F2937"/>
          <w:sz w:val="20"/>
        </w:rPr>
        <w:t>SESButton</w:t>
      </w:r>
      <w:r>
        <w:rPr>
          <w:rFonts w:ascii="Calibri" w:hAnsi="Calibri" w:eastAsia="Calibri"/>
          <w:color w:val="1F2937"/>
          <w:sz w:val="22"/>
        </w:rPr>
        <w:t xml:space="preserve"> para las acciones y traduce </w:t>
      </w:r>
      <w:r>
        <w:rPr>
          <w:rFonts w:ascii="Consolas" w:hAnsi="Consolas" w:eastAsia="Consolas"/>
          <w:color w:val="1F2937"/>
          <w:sz w:val="20"/>
        </w:rPr>
        <w:t>danger</w:t>
      </w:r>
      <w:r>
        <w:rPr>
          <w:rFonts w:ascii="Calibri" w:hAnsi="Calibri" w:eastAsia="Calibri"/>
          <w:color w:val="1F2937"/>
          <w:sz w:val="22"/>
        </w:rPr>
        <w:t xml:space="preserve"> a la variante destructiva; cualquier otra variante utiliza el botón principal.</w:t>
      </w:r>
    </w:p>
    <w:p>
      <w:pPr>
        <w:jc w:val="both"/>
      </w:pPr>
      <w:r>
        <w:rPr>
          <w:rFonts w:ascii="Calibri" w:hAnsi="Calibri" w:eastAsia="Calibri"/>
          <w:color w:val="1F2937"/>
          <w:sz w:val="22"/>
        </w:rPr>
        <w:t xml:space="preserve">El panel usa </w:t>
      </w:r>
      <w:r>
        <w:rPr>
          <w:rFonts w:ascii="Consolas" w:hAnsi="Consolas" w:eastAsia="Consolas"/>
          <w:color w:val="1F2937"/>
          <w:sz w:val="20"/>
        </w:rPr>
        <w:t>role="dialog"</w:t>
      </w:r>
      <w:r>
        <w:rPr>
          <w:rFonts w:ascii="Calibri" w:hAnsi="Calibri" w:eastAsia="Calibri"/>
          <w:color w:val="1F2937"/>
          <w:sz w:val="22"/>
        </w:rPr>
        <w:t xml:space="preserve">, </w:t>
      </w:r>
      <w:r>
        <w:rPr>
          <w:rFonts w:ascii="Consolas" w:hAnsi="Consolas" w:eastAsia="Consolas"/>
          <w:color w:val="1F2937"/>
          <w:sz w:val="20"/>
        </w:rPr>
        <w:t>aria-modal="true"</w:t>
      </w:r>
      <w:r>
        <w:rPr>
          <w:rFonts w:ascii="Calibri" w:hAnsi="Calibri" w:eastAsia="Calibri"/>
          <w:color w:val="1F2937"/>
          <w:sz w:val="22"/>
        </w:rPr>
        <w:t xml:space="preserve">, </w:t>
      </w:r>
      <w:r>
        <w:rPr>
          <w:rFonts w:ascii="Consolas" w:hAnsi="Consolas" w:eastAsia="Consolas"/>
          <w:color w:val="1F2937"/>
          <w:sz w:val="20"/>
        </w:rPr>
        <w:t>aria-labelledby</w:t>
      </w:r>
      <w:r>
        <w:rPr>
          <w:rFonts w:ascii="Calibri" w:hAnsi="Calibri" w:eastAsia="Calibri"/>
          <w:color w:val="1F2937"/>
          <w:sz w:val="22"/>
        </w:rPr>
        <w:t xml:space="preserve"> y </w:t>
      </w:r>
      <w:r>
        <w:rPr>
          <w:rFonts w:ascii="Consolas" w:hAnsi="Consolas" w:eastAsia="Consolas"/>
          <w:color w:val="1F2937"/>
          <w:sz w:val="20"/>
        </w:rPr>
        <w:t>aria-describedby</w:t>
      </w:r>
      <w:r>
        <w:rPr>
          <w:rFonts w:ascii="Calibri" w:hAnsi="Calibri" w:eastAsia="Calibri"/>
          <w:color w:val="1F2937"/>
          <w:sz w:val="22"/>
        </w:rPr>
        <w:t xml:space="preserve">. Al abrir conserva el elemento previamente enfocado y dirige el foco a la acción segura. Escape ejecuta </w:t>
      </w:r>
      <w:r>
        <w:rPr>
          <w:rFonts w:ascii="Consolas" w:hAnsi="Consolas" w:eastAsia="Consolas"/>
          <w:color w:val="1F2937"/>
          <w:sz w:val="20"/>
        </w:rPr>
        <w:t>onCancel</w:t>
      </w:r>
      <w:r>
        <w:rPr>
          <w:rFonts w:ascii="Calibri" w:hAnsi="Calibri" w:eastAsia="Calibri"/>
          <w:color w:val="1F2937"/>
          <w:sz w:val="22"/>
        </w:rPr>
        <w:t xml:space="preserve"> mientras no esté cargando, y el cleanup intenta restaurar el foco anterior. El overlay no tiene manejador de click, por lo que pulsar fuera no cierra una confirmación destructiva.</w:t>
      </w:r>
    </w:p>
    <w:p>
      <w:pPr>
        <w:jc w:val="both"/>
      </w:pPr>
      <w:r>
        <w:rPr>
          <w:rFonts w:ascii="Calibri" w:hAnsi="Calibri" w:eastAsia="Calibri"/>
          <w:color w:val="1F2937"/>
          <w:sz w:val="22"/>
        </w:rPr>
        <w:t xml:space="preserve">El componente sólo aporta infraestructura visual y accesible. </w:t>
      </w:r>
      <w:r>
        <w:rPr>
          <w:rFonts w:ascii="Consolas" w:hAnsi="Consolas" w:eastAsia="Consolas"/>
          <w:color w:val="1F2937"/>
          <w:sz w:val="20"/>
        </w:rPr>
        <w:t>SESFooterActions</w:t>
      </w:r>
      <w:r>
        <w:rPr>
          <w:rFonts w:ascii="Calibri" w:hAnsi="Calibri" w:eastAsia="Calibri"/>
          <w:color w:val="1F2937"/>
          <w:sz w:val="22"/>
        </w:rPr>
        <w:t xml:space="preserve"> conserva la decisión funcional de cuándo abrirlo y qué ocurre al confirmar.</w:t>
      </w:r>
    </w:p>
    <w:p>
      <w:pPr>
        <w:pStyle w:val="Heading1"/>
      </w:pPr>
      <w:r>
        <w:rPr>
          <w:rFonts w:ascii="Calibri" w:hAnsi="Calibri" w:eastAsia="Calibri"/>
          <w:color w:val="1F2937"/>
          <w:sz w:val="32"/>
        </w:rPr>
        <w:t>15. Cancelación inteligente</w:t>
      </w:r>
    </w:p>
    <w:p>
      <w:pPr>
        <w:jc w:val="both"/>
      </w:pPr>
      <w:r>
        <w:rPr>
          <w:rFonts w:ascii="Calibri" w:hAnsi="Calibri" w:eastAsia="Calibri"/>
          <w:color w:val="1F2937"/>
          <w:sz w:val="22"/>
        </w:rPr>
        <w:t>El flujo vigente es:</w:t>
      </w:r>
    </w:p>
    <w:p>
      <w:pPr>
        <w:spacing w:before="80" w:after="120" w:line="240" w:lineRule="auto"/>
        <w:ind w:left="227" w:right="227"/>
        <w:shd w:fill="F2F4F7"/>
      </w:pPr>
      <w:r>
        <w:rPr>
          <w:rFonts w:ascii="Consolas" w:hAnsi="Consolas" w:eastAsia="Consolas"/>
          <w:color w:val="1F2937"/>
          <w:sz w:val="20"/>
        </w:rPr>
        <w:t>Cancelar</w:t>
      </w:r>
      <w:r>
        <w:br/>
      </w:r>
      <w:r>
        <w:rPr>
          <w:rFonts w:ascii="Consolas" w:hAnsi="Consolas" w:eastAsia="Consolas"/>
          <w:color w:val="1F2937"/>
          <w:sz w:val="20"/>
        </w:rPr>
        <w:t>├── formulario limpio</w:t>
      </w:r>
      <w:r>
        <w:br/>
      </w:r>
      <w:r>
        <w:rPr>
          <w:rFonts w:ascii="Consolas" w:hAnsi="Consolas" w:eastAsia="Consolas"/>
          <w:color w:val="1F2937"/>
          <w:sz w:val="20"/>
        </w:rPr>
        <w:t>│   └── onCancelar directo</w:t>
      </w:r>
      <w:r>
        <w:br/>
      </w:r>
      <w:r>
        <w:rPr>
          <w:rFonts w:ascii="Consolas" w:hAnsi="Consolas" w:eastAsia="Consolas"/>
          <w:color w:val="1F2937"/>
          <w:sz w:val="20"/>
        </w:rPr>
        <w:t>└── formulario con datos</w:t>
      </w:r>
      <w:r>
        <w:br/>
      </w:r>
      <w:r>
        <w:rPr>
          <w:rFonts w:ascii="Consolas" w:hAnsi="Consolas" w:eastAsia="Consolas"/>
          <w:color w:val="1F2937"/>
          <w:sz w:val="20"/>
        </w:rPr>
        <w:t xml:space="preserve">    └── SESConfirmDialog</w:t>
      </w:r>
      <w:r>
        <w:br/>
      </w:r>
      <w:r>
        <w:rPr>
          <w:rFonts w:ascii="Consolas" w:hAnsi="Consolas" w:eastAsia="Consolas"/>
          <w:color w:val="1F2937"/>
          <w:sz w:val="20"/>
        </w:rPr>
        <w:t xml:space="preserve">        ├── Continuar cargando → cerrar y conservar datos</w:t>
      </w:r>
      <w:r>
        <w:br/>
      </w:r>
      <w:r>
        <w:rPr>
          <w:rFonts w:ascii="Consolas" w:hAnsi="Consolas" w:eastAsia="Consolas"/>
          <w:color w:val="1F2937"/>
          <w:sz w:val="20"/>
        </w:rPr>
        <w:t xml:space="preserve">        ├── Escape             → cerrar y conservar datos</w:t>
      </w:r>
      <w:r>
        <w:br/>
      </w:r>
      <w:r>
        <w:rPr>
          <w:rFonts w:ascii="Consolas" w:hAnsi="Consolas" w:eastAsia="Consolas"/>
          <w:color w:val="1F2937"/>
          <w:sz w:val="20"/>
        </w:rPr>
        <w:t xml:space="preserve">        └── Sí, cancelar       → onCancelar y volver a la lista</w:t>
      </w:r>
    </w:p>
    <w:p>
      <w:pPr>
        <w:jc w:val="both"/>
      </w:pPr>
      <w:r>
        <w:rPr>
          <w:rFonts w:ascii="Consolas" w:hAnsi="Consolas" w:eastAsia="Consolas"/>
          <w:color w:val="1F2937"/>
          <w:sz w:val="20"/>
        </w:rPr>
        <w:t>tieneDatosIngresados</w:t>
      </w:r>
      <w:r>
        <w:rPr>
          <w:rFonts w:ascii="Calibri" w:hAnsi="Calibri" w:eastAsia="Calibri"/>
          <w:color w:val="1F2937"/>
          <w:sz w:val="22"/>
        </w:rPr>
        <w:t xml:space="preserve"> es una constante derivada en cada render. No existe un dirty flag adicional ni un efecto dedicado a sincronizarlo. La expresión considera actividad inequívoca: proveedor, punto de venta, número, fechas con contenido, período fiscal, tipo elegido cuando hay varias opciones, modo distinto de detallado, ítems o conceptos manuales, filas IVA simplificadas con base o importe, valores no nulos de </w:t>
      </w:r>
      <w:r>
        <w:rPr>
          <w:rFonts w:ascii="Consolas" w:hAnsi="Consolas" w:eastAsia="Consolas"/>
          <w:color w:val="1F2937"/>
          <w:sz w:val="20"/>
        </w:rPr>
        <w:t>pieOtros</w:t>
      </w:r>
      <w:r>
        <w:rPr>
          <w:rFonts w:ascii="Calibri" w:hAnsi="Calibri" w:eastAsia="Calibri"/>
          <w:color w:val="1F2937"/>
          <w:sz w:val="22"/>
        </w:rPr>
        <w:t xml:space="preserve">, </w:t>
      </w:r>
      <w:r>
        <w:rPr>
          <w:rFonts w:ascii="Consolas" w:hAnsi="Consolas" w:eastAsia="Consolas"/>
          <w:color w:val="1F2937"/>
          <w:sz w:val="20"/>
        </w:rPr>
        <w:t>totalManual</w:t>
      </w:r>
      <w:r>
        <w:rPr>
          <w:rFonts w:ascii="Calibri" w:hAnsi="Calibri" w:eastAsia="Calibri"/>
          <w:color w:val="1F2937"/>
          <w:sz w:val="22"/>
        </w:rPr>
        <w:t xml:space="preserve">, motivo, </w:t>
      </w:r>
      <w:r>
        <w:rPr>
          <w:rFonts w:ascii="Consolas" w:hAnsi="Consolas" w:eastAsia="Consolas"/>
          <w:color w:val="1F2937"/>
          <w:sz w:val="20"/>
        </w:rPr>
        <w:t>importeTotal</w:t>
      </w:r>
      <w:r>
        <w:rPr>
          <w:rFonts w:ascii="Calibri" w:hAnsi="Calibri" w:eastAsia="Calibri"/>
          <w:color w:val="1F2937"/>
          <w:sz w:val="22"/>
        </w:rPr>
        <w:t>, actualización de stock y sucursal.</w:t>
      </w:r>
    </w:p>
    <w:p>
      <w:pPr>
        <w:jc w:val="both"/>
      </w:pPr>
      <w:r>
        <w:rPr>
          <w:rFonts w:ascii="Calibri" w:hAnsi="Calibri" w:eastAsia="Calibri"/>
          <w:color w:val="1F2937"/>
          <w:sz w:val="22"/>
        </w:rPr>
        <w:t xml:space="preserve">Se excluyen categoría por sí sola, listas maestras, carga, errores, valores derivados, </w:t>
      </w:r>
      <w:r>
        <w:rPr>
          <w:rFonts w:ascii="Consolas" w:hAnsi="Consolas" w:eastAsia="Consolas"/>
          <w:color w:val="1F2937"/>
          <w:sz w:val="20"/>
        </w:rPr>
        <w:t>sumaCalculada</w:t>
      </w:r>
      <w:r>
        <w:rPr>
          <w:rFonts w:ascii="Calibri" w:hAnsi="Calibri" w:eastAsia="Calibri"/>
          <w:color w:val="1F2937"/>
          <w:sz w:val="22"/>
        </w:rPr>
        <w:t xml:space="preserve"> y </w:t>
      </w:r>
      <w:r>
        <w:rPr>
          <w:rFonts w:ascii="Consolas" w:hAnsi="Consolas" w:eastAsia="Consolas"/>
          <w:color w:val="1F2937"/>
          <w:sz w:val="20"/>
        </w:rPr>
        <w:t>diferencia</w:t>
      </w:r>
      <w:r>
        <w:rPr>
          <w:rFonts w:ascii="Calibri" w:hAnsi="Calibri" w:eastAsia="Calibri"/>
          <w:color w:val="1F2937"/>
          <w:sz w:val="22"/>
        </w:rPr>
        <w:t>. El tipo seleccionado automáticamente cuando existe una sola opción no activa la detección. El depósito autoasignado no se evalúa de manera independiente. Las filas IVA derivadas de ítems tampoco cuentan; en simplificado sólo cuentan base o importe distintos de cero, por lo que la fila técnica vacía queda excluida.</w:t>
      </w:r>
    </w:p>
    <w:p>
      <w:pPr>
        <w:jc w:val="both"/>
      </w:pPr>
      <w:r>
        <w:rPr>
          <w:rFonts w:ascii="Calibri" w:hAnsi="Calibri" w:eastAsia="Calibri"/>
          <w:color w:val="1F2937"/>
          <w:sz w:val="22"/>
        </w:rPr>
        <w:t xml:space="preserve">El código vigente inicia las fechas vacías; si una evolución introduce fechas iniciales automáticas, deberán compararse contra ese valor inicial para conservar la misma semántica. No existe actualmente una sucursal global autoasignada en este componente; </w:t>
      </w:r>
      <w:r>
        <w:rPr>
          <w:rFonts w:ascii="Consolas" w:hAnsi="Consolas" w:eastAsia="Consolas"/>
          <w:color w:val="1F2937"/>
          <w:sz w:val="20"/>
        </w:rPr>
        <w:t>sucursalId</w:t>
      </w:r>
      <w:r>
        <w:rPr>
          <w:rFonts w:ascii="Calibri" w:hAnsi="Calibri" w:eastAsia="Calibri"/>
          <w:color w:val="1F2937"/>
          <w:sz w:val="22"/>
        </w:rPr>
        <w:t xml:space="preserve"> sólo cuenta cuando contiene una selección. Esta precisión evita documentar snapshots o autoasignaciones inexistentes.</w:t>
      </w:r>
    </w:p>
    <w:p>
      <w:pPr>
        <w:jc w:val="both"/>
      </w:pPr>
      <w:r>
        <w:rPr>
          <w:rFonts w:ascii="Calibri" w:hAnsi="Calibri" w:eastAsia="Calibri"/>
          <w:color w:val="1F2937"/>
          <w:sz w:val="22"/>
        </w:rPr>
        <w:t xml:space="preserve">Mientras </w:t>
      </w:r>
      <w:r>
        <w:rPr>
          <w:rFonts w:ascii="Consolas" w:hAnsi="Consolas" w:eastAsia="Consolas"/>
          <w:color w:val="1F2937"/>
          <w:sz w:val="20"/>
        </w:rPr>
        <w:t>cargando</w:t>
      </w:r>
      <w:r>
        <w:rPr>
          <w:rFonts w:ascii="Calibri" w:hAnsi="Calibri" w:eastAsia="Calibri"/>
          <w:color w:val="1F2937"/>
          <w:sz w:val="22"/>
        </w:rPr>
        <w:t xml:space="preserve"> es verdadero, Cancelar está deshabilitado y el handler contiene además una guarda. Sólo se eliminó el </w:t>
      </w:r>
      <w:r>
        <w:rPr>
          <w:rFonts w:ascii="Consolas" w:hAnsi="Consolas" w:eastAsia="Consolas"/>
          <w:color w:val="1F2937"/>
          <w:sz w:val="20"/>
        </w:rPr>
        <w:t>window.confirm</w:t>
      </w:r>
      <w:r>
        <w:rPr>
          <w:rFonts w:ascii="Calibri" w:hAnsi="Calibri" w:eastAsia="Calibri"/>
          <w:color w:val="1F2937"/>
          <w:sz w:val="22"/>
        </w:rPr>
        <w:t xml:space="preserve"> de Cancelar; el de cambio de modo permanece.</w:t>
      </w:r>
    </w:p>
    <w:p>
      <w:pPr>
        <w:pStyle w:val="Heading1"/>
      </w:pPr>
      <w:r>
        <w:rPr>
          <w:rFonts w:ascii="Calibri" w:hAnsi="Calibri" w:eastAsia="Calibri"/>
          <w:color w:val="1F2937"/>
          <w:sz w:val="32"/>
        </w:rPr>
        <w:t>16. Flujos de persistencia</w:t>
      </w:r>
    </w:p>
    <w:p>
      <w:pPr>
        <w:jc w:val="both"/>
      </w:pPr>
      <w:r>
        <w:rPr>
          <w:rFonts w:ascii="Calibri" w:hAnsi="Calibri" w:eastAsia="Calibri"/>
          <w:color w:val="1F2937"/>
          <w:sz w:val="22"/>
        </w:rPr>
        <w:t xml:space="preserve">Ambos flujos comienzan con </w:t>
      </w:r>
      <w:r>
        <w:rPr>
          <w:rFonts w:ascii="Consolas" w:hAnsi="Consolas" w:eastAsia="Consolas"/>
          <w:color w:val="1F2937"/>
          <w:sz w:val="20"/>
        </w:rPr>
        <w:t>await validar()</w:t>
      </w:r>
      <w:r>
        <w:rPr>
          <w:rFonts w:ascii="Calibri" w:hAnsi="Calibri" w:eastAsia="Calibri"/>
          <w:color w:val="1F2937"/>
          <w:sz w:val="22"/>
        </w:rPr>
        <w:t xml:space="preserve">. Un resultado inválido bloquea el envío. Un resultado válido activa </w:t>
      </w:r>
      <w:r>
        <w:rPr>
          <w:rFonts w:ascii="Consolas" w:hAnsi="Consolas" w:eastAsia="Consolas"/>
          <w:color w:val="1F2937"/>
          <w:sz w:val="20"/>
        </w:rPr>
        <w:t>cargando</w:t>
      </w:r>
      <w:r>
        <w:rPr>
          <w:rFonts w:ascii="Calibri" w:hAnsi="Calibri" w:eastAsia="Calibri"/>
          <w:color w:val="1F2937"/>
          <w:sz w:val="22"/>
        </w:rPr>
        <w:t xml:space="preserve">, construye el cuerpo correspondiente y ejecuta </w:t>
      </w:r>
      <w:r>
        <w:rPr>
          <w:rFonts w:ascii="Consolas" w:hAnsi="Consolas" w:eastAsia="Consolas"/>
          <w:color w:val="1F2937"/>
          <w:sz w:val="20"/>
        </w:rPr>
        <w:t>fetch</w:t>
      </w:r>
      <w:r>
        <w:rPr>
          <w:rFonts w:ascii="Calibri" w:hAnsi="Calibri" w:eastAsia="Calibri"/>
          <w:color w:val="1F2937"/>
          <w:sz w:val="22"/>
        </w:rPr>
        <w:t xml:space="preserve"> con JSON.</w:t>
      </w:r>
    </w:p>
    <w:p>
      <w:pPr>
        <w:jc w:val="both"/>
      </w:pPr>
      <w:r>
        <w:rPr>
          <w:rFonts w:ascii="Calibri" w:hAnsi="Calibri" w:eastAsia="Calibri"/>
          <w:color w:val="1F2937"/>
          <w:sz w:val="22"/>
        </w:rPr>
        <w:t xml:space="preserve">Los comprobantes fiscales e internos utilizan </w:t>
      </w:r>
      <w:r>
        <w:rPr>
          <w:rFonts w:ascii="Consolas" w:hAnsi="Consolas" w:eastAsia="Consolas"/>
          <w:color w:val="1F2937"/>
          <w:sz w:val="20"/>
        </w:rPr>
        <w:t>POST /api/comprobantes/registrar</w:t>
      </w:r>
      <w:r>
        <w:rPr>
          <w:rFonts w:ascii="Calibri" w:hAnsi="Calibri" w:eastAsia="Calibri"/>
          <w:color w:val="1F2937"/>
          <w:sz w:val="22"/>
        </w:rPr>
        <w:t xml:space="preserve">. El payload varía según tenga ítems detallados, resumen simplificado o sea un documento sin ítems. Puede incluir IVA manual, percepciones, tributos, actualización opcional de stock y depósito. Ante éxito se informa el comprobante registrado y se ejecuta </w:t>
      </w:r>
      <w:r>
        <w:rPr>
          <w:rFonts w:ascii="Consolas" w:hAnsi="Consolas" w:eastAsia="Consolas"/>
          <w:color w:val="1F2937"/>
          <w:sz w:val="20"/>
        </w:rPr>
        <w:t>onCancelar</w:t>
      </w:r>
      <w:r>
        <w:rPr>
          <w:rFonts w:ascii="Calibri" w:hAnsi="Calibri" w:eastAsia="Calibri"/>
          <w:color w:val="1F2937"/>
          <w:sz w:val="22"/>
        </w:rPr>
        <w:t xml:space="preserve">; los errores de API o conexión se informan actualmente mediante </w:t>
      </w:r>
      <w:r>
        <w:rPr>
          <w:rFonts w:ascii="Consolas" w:hAnsi="Consolas" w:eastAsia="Consolas"/>
          <w:color w:val="1F2937"/>
          <w:sz w:val="20"/>
        </w:rPr>
        <w:t>alert</w:t>
      </w:r>
      <w:r>
        <w:rPr>
          <w:rFonts w:ascii="Calibri" w:hAnsi="Calibri" w:eastAsia="Calibri"/>
          <w:color w:val="1F2937"/>
          <w:sz w:val="22"/>
        </w:rPr>
        <w:t>.</w:t>
      </w:r>
    </w:p>
    <w:p>
      <w:pPr>
        <w:jc w:val="both"/>
      </w:pPr>
      <w:r>
        <w:rPr>
          <w:rFonts w:ascii="Calibri" w:hAnsi="Calibri" w:eastAsia="Calibri"/>
          <w:color w:val="1F2937"/>
          <w:sz w:val="22"/>
        </w:rPr>
        <w:t xml:space="preserve">Los Remitos utilizan exclusivamente </w:t>
      </w:r>
      <w:r>
        <w:rPr>
          <w:rFonts w:ascii="Consolas" w:hAnsi="Consolas" w:eastAsia="Consolas"/>
          <w:color w:val="1F2937"/>
          <w:sz w:val="20"/>
        </w:rPr>
        <w:t>POST /api/remitos/registrar</w:t>
      </w:r>
      <w:r>
        <w:rPr>
          <w:rFonts w:ascii="Calibri" w:hAnsi="Calibri" w:eastAsia="Calibri"/>
          <w:color w:val="1F2937"/>
          <w:sz w:val="22"/>
        </w:rPr>
        <w:t xml:space="preserve">, con contrato y tratamiento de respuesta propios. Exigen actualización de stock y preservan </w:t>
      </w:r>
      <w:r>
        <w:rPr>
          <w:rFonts w:ascii="Consolas" w:hAnsi="Consolas" w:eastAsia="Consolas"/>
          <w:color w:val="1F2937"/>
          <w:sz w:val="20"/>
        </w:rPr>
        <w:t>operacionID</w:t>
      </w:r>
      <w:r>
        <w:rPr>
          <w:rFonts w:ascii="Calibri" w:hAnsi="Calibri" w:eastAsia="Calibri"/>
          <w:color w:val="1F2937"/>
          <w:sz w:val="22"/>
        </w:rPr>
        <w:t xml:space="preserve"> en los mensajes relevantes.</w:t>
      </w:r>
    </w:p>
    <w:p>
      <w:pPr>
        <w:jc w:val="both"/>
      </w:pPr>
      <w:r>
        <w:rPr>
          <w:rFonts w:ascii="Calibri" w:hAnsi="Calibri" w:eastAsia="Calibri"/>
          <w:color w:val="1F2937"/>
          <w:sz w:val="22"/>
        </w:rPr>
        <w:t xml:space="preserve">La persistencia se encuentra implementada directamente dentro de </w:t>
      </w:r>
      <w:r>
        <w:rPr>
          <w:rFonts w:ascii="Consolas" w:hAnsi="Consolas" w:eastAsia="Consolas"/>
          <w:color w:val="1F2937"/>
          <w:sz w:val="20"/>
        </w:rPr>
        <w:t>handleConfirmar</w:t>
      </w:r>
      <w:r>
        <w:rPr>
          <w:rFonts w:ascii="Calibri" w:hAnsi="Calibri" w:eastAsia="Calibri"/>
          <w:color w:val="1F2937"/>
          <w:sz w:val="22"/>
        </w:rPr>
        <w:t>; no existe en el frontend vigente un servicio separado para estos dos envíos. Mantener la distinción de endpoints es más importante que forzar una abstracción inexistente.</w:t>
      </w:r>
    </w:p>
    <w:p>
      <w:pPr>
        <w:pStyle w:val="Heading1"/>
        <w:pageBreakBefore/>
      </w:pPr>
      <w:r>
        <w:rPr>
          <w:rFonts w:ascii="Calibri" w:hAnsi="Calibri" w:eastAsia="Calibri"/>
          <w:color w:val="1F2937"/>
          <w:sz w:val="32"/>
        </w:rPr>
        <w:t>17. Decisiones de diseño</w:t>
      </w:r>
    </w:p>
    <w:p>
      <w:pPr>
        <w:pStyle w:val="ListBullet"/>
      </w:pPr>
      <w:r>
        <w:rPr>
          <w:rFonts w:ascii="Consolas" w:hAnsi="Consolas" w:eastAsia="Consolas"/>
          <w:color w:val="1F2937"/>
          <w:sz w:val="20"/>
        </w:rPr>
        <w:t>NuevoComprobante</w:t>
      </w:r>
      <w:r>
        <w:rPr>
          <w:rFonts w:ascii="Calibri" w:hAnsi="Calibri" w:eastAsia="Calibri"/>
          <w:color w:val="1F2937"/>
          <w:sz w:val="22"/>
        </w:rPr>
        <w:t xml:space="preserve"> permanece como orquestador porque estado, validación y persistencia necesitan una coordinación única.</w:t>
      </w:r>
    </w:p>
    <w:p>
      <w:pPr>
        <w:pStyle w:val="ListBullet"/>
      </w:pPr>
      <w:r>
        <w:rPr>
          <w:rFonts w:ascii="Calibri" w:hAnsi="Calibri" w:eastAsia="Calibri"/>
          <w:color w:val="1F2937"/>
          <w:sz w:val="22"/>
        </w:rPr>
        <w:t>Se extraen responsabilidades visuales y funcionales claras; no se distribuye estado sólo para reducir longitud.</w:t>
      </w:r>
    </w:p>
    <w:p>
      <w:pPr>
        <w:pStyle w:val="ListBullet"/>
      </w:pPr>
      <w:r>
        <w:rPr>
          <w:rFonts w:ascii="Calibri" w:hAnsi="Calibri" w:eastAsia="Calibri"/>
          <w:color w:val="1F2937"/>
          <w:sz w:val="22"/>
        </w:rPr>
        <w:t>La configuración por categoría reemplaza condiciones y encabezados dispersos.</w:t>
      </w:r>
    </w:p>
    <w:p>
      <w:pPr>
        <w:pStyle w:val="ListBullet"/>
      </w:pPr>
      <w:r>
        <w:rPr>
          <w:rFonts w:ascii="Calibri" w:hAnsi="Calibri" w:eastAsia="Calibri"/>
          <w:color w:val="1F2937"/>
          <w:sz w:val="22"/>
        </w:rPr>
        <w:t>Facturas y Remitos utilizan vistas de ítems especializadas porque sus modelos de captura son diferentes.</w:t>
      </w:r>
    </w:p>
    <w:p>
      <w:pPr>
        <w:pStyle w:val="ListBullet"/>
      </w:pPr>
      <w:r>
        <w:rPr>
          <w:rFonts w:ascii="Consolas" w:hAnsi="Consolas" w:eastAsia="Consolas"/>
          <w:color w:val="1F2937"/>
          <w:sz w:val="20"/>
        </w:rPr>
        <w:t>SESItemsSection</w:t>
      </w:r>
      <w:r>
        <w:rPr>
          <w:rFonts w:ascii="Calibri" w:hAnsi="Calibri" w:eastAsia="Calibri"/>
          <w:color w:val="1F2937"/>
          <w:sz w:val="22"/>
        </w:rPr>
        <w:t xml:space="preserve"> conserva una frontera pública común y monta una sola especialización.</w:t>
      </w:r>
    </w:p>
    <w:p>
      <w:pPr>
        <w:pStyle w:val="ListBullet"/>
      </w:pPr>
      <w:r>
        <w:rPr>
          <w:rFonts w:ascii="Calibri" w:hAnsi="Calibri" w:eastAsia="Calibri"/>
          <w:color w:val="1F2937"/>
          <w:sz w:val="22"/>
        </w:rPr>
        <w:t>Los valores derivados se calculan desde la fuente primaria cuando es posible; el IVA detallado proviene de los ítems.</w:t>
      </w:r>
    </w:p>
    <w:p>
      <w:pPr>
        <w:pStyle w:val="ListBullet"/>
      </w:pPr>
      <w:r>
        <w:rPr>
          <w:rFonts w:ascii="Calibri" w:hAnsi="Calibri" w:eastAsia="Calibri"/>
          <w:color w:val="1F2937"/>
          <w:sz w:val="22"/>
        </w:rPr>
        <w:t>Total Factura funciona como control externo y no como fuente del cálculo.</w:t>
      </w:r>
    </w:p>
    <w:p>
      <w:pPr>
        <w:pStyle w:val="ListBullet"/>
      </w:pPr>
      <w:r>
        <w:rPr>
          <w:rFonts w:ascii="Calibri" w:hAnsi="Calibri" w:eastAsia="Calibri"/>
          <w:color w:val="1F2937"/>
          <w:sz w:val="22"/>
        </w:rPr>
        <w:t>El toast complementa los errores locales; no sustituye validación ni ubicación de campo.</w:t>
      </w:r>
    </w:p>
    <w:p>
      <w:pPr>
        <w:pStyle w:val="ListBullet"/>
      </w:pPr>
      <w:r>
        <w:rPr>
          <w:rFonts w:ascii="Consolas" w:hAnsi="Consolas" w:eastAsia="Consolas"/>
          <w:color w:val="1F2937"/>
          <w:sz w:val="20"/>
        </w:rPr>
        <w:t>SESConfirmDialog</w:t>
      </w:r>
      <w:r>
        <w:rPr>
          <w:rFonts w:ascii="Calibri" w:hAnsi="Calibri" w:eastAsia="Calibri"/>
          <w:color w:val="1F2937"/>
          <w:sz w:val="22"/>
        </w:rPr>
        <w:t xml:space="preserve"> pertenece al Design System; el footer decide su uso funcional.</w:t>
      </w:r>
    </w:p>
    <w:p>
      <w:pPr>
        <w:pStyle w:val="ListBullet"/>
      </w:pPr>
      <w:r>
        <w:rPr>
          <w:rFonts w:ascii="Calibri" w:hAnsi="Calibri" w:eastAsia="Calibri"/>
          <w:color w:val="1F2937"/>
          <w:sz w:val="22"/>
        </w:rPr>
        <w:t>Cancelar sólo solicita confirmación cuando existen datos significativos.</w:t>
      </w:r>
    </w:p>
    <w:p>
      <w:pPr>
        <w:pStyle w:val="ListBullet"/>
      </w:pPr>
      <w:r>
        <w:rPr>
          <w:rFonts w:ascii="Calibri" w:hAnsi="Calibri" w:eastAsia="Calibri"/>
          <w:color w:val="1F2937"/>
          <w:sz w:val="22"/>
        </w:rPr>
        <w:t>Remitos poseen endpoint y contrato propios y no simulan comprobantes fiscales.</w:t>
      </w:r>
    </w:p>
    <w:p>
      <w:pPr>
        <w:pStyle w:val="ListBullet"/>
      </w:pPr>
      <w:r>
        <w:rPr>
          <w:rFonts w:ascii="Calibri" w:hAnsi="Calibri" w:eastAsia="Calibri"/>
          <w:color w:val="1F2937"/>
          <w:sz w:val="22"/>
        </w:rPr>
        <w:t>WinDev continúa siendo fuente de verdad para maestros y reglas propias de artículos.</w:t>
      </w:r>
    </w:p>
    <w:p>
      <w:pPr>
        <w:pStyle w:val="Heading1"/>
      </w:pPr>
      <w:r>
        <w:rPr>
          <w:rFonts w:ascii="Calibri" w:hAnsi="Calibri" w:eastAsia="Calibri"/>
          <w:color w:val="1F2937"/>
          <w:sz w:val="32"/>
        </w:rPr>
        <w:t>18. Regla ICL, IDC e Impuesto Interno</w:t>
      </w:r>
    </w:p>
    <w:p>
      <w:pPr>
        <w:jc w:val="both"/>
      </w:pPr>
      <w:r>
        <w:rPr>
          <w:rFonts w:ascii="Calibri" w:hAnsi="Calibri" w:eastAsia="Calibri"/>
          <w:color w:val="1F2937"/>
          <w:sz w:val="22"/>
        </w:rPr>
        <w:t>El frontend aplica la siguiente prioridad para el impuesto interno efectivo:</w:t>
      </w:r>
    </w:p>
    <w:p>
      <w:pPr>
        <w:spacing w:before="80" w:after="120" w:line="240" w:lineRule="auto"/>
        <w:ind w:left="227" w:right="227"/>
        <w:shd w:fill="F2F4F7"/>
      </w:pPr>
      <w:r>
        <w:rPr>
          <w:rFonts w:ascii="Consolas" w:hAnsi="Consolas" w:eastAsia="Consolas"/>
          <w:color w:val="1F2937"/>
          <w:sz w:val="20"/>
        </w:rPr>
        <w:t>si ICL + IDC &gt; 0:</w:t>
      </w:r>
      <w:r>
        <w:br/>
      </w:r>
      <w:r>
        <w:rPr>
          <w:rFonts w:ascii="Consolas" w:hAnsi="Consolas" w:eastAsia="Consolas"/>
          <w:color w:val="1F2937"/>
          <w:sz w:val="20"/>
        </w:rPr>
        <w:t xml:space="preserve">    impuesto interno efectivo = ICL + IDC</w:t>
      </w:r>
      <w:r>
        <w:br/>
      </w:r>
      <w:r>
        <w:rPr>
          <w:rFonts w:ascii="Consolas" w:hAnsi="Consolas" w:eastAsia="Consolas"/>
          <w:color w:val="1F2937"/>
          <w:sz w:val="20"/>
        </w:rPr>
        <w:t>en caso contrario:</w:t>
      </w:r>
      <w:r>
        <w:br/>
      </w:r>
      <w:r>
        <w:rPr>
          <w:rFonts w:ascii="Consolas" w:hAnsi="Consolas" w:eastAsia="Consolas"/>
          <w:color w:val="1F2937"/>
          <w:sz w:val="20"/>
        </w:rPr>
        <w:t xml:space="preserve">    impuesto interno efectivo = imp_interno_monto</w:t>
      </w:r>
    </w:p>
    <w:p>
      <w:pPr>
        <w:jc w:val="both"/>
      </w:pPr>
      <w:r>
        <w:rPr>
          <w:rFonts w:ascii="Calibri" w:hAnsi="Calibri" w:eastAsia="Calibri"/>
          <w:color w:val="1F2937"/>
          <w:sz w:val="22"/>
        </w:rPr>
        <w:t>En la suma económica no se agregan simultáneamente ICL, IDC e Impuesto Interno cuando ICL/IDC ya representan el desglose. Esto evita doble conteo.</w:t>
      </w:r>
    </w:p>
    <w:p>
      <w:pPr>
        <w:jc w:val="both"/>
      </w:pPr>
      <w:r>
        <w:rPr>
          <w:rFonts w:ascii="Calibri" w:hAnsi="Calibri" w:eastAsia="Calibri"/>
          <w:color w:val="1F2937"/>
          <w:sz w:val="22"/>
        </w:rPr>
        <w:t xml:space="preserve">SES Compras no determina si el artículo es combustible ni introduce una clasificación adicional. Los valores llegan desde los maestros cuya fuente de verdad es WinDev. El mantenimiento de artículos en WinDev debe garantizar </w:t>
      </w:r>
      <w:r>
        <w:rPr>
          <w:rFonts w:ascii="Consolas" w:hAnsi="Consolas" w:eastAsia="Consolas"/>
          <w:color w:val="1F2937"/>
          <w:sz w:val="20"/>
        </w:rPr>
        <w:t>ICL + IDC = Impuesto Interno</w:t>
      </w:r>
      <w:r>
        <w:rPr>
          <w:rFonts w:ascii="Calibri" w:hAnsi="Calibri" w:eastAsia="Calibri"/>
          <w:color w:val="1F2937"/>
          <w:sz w:val="22"/>
        </w:rPr>
        <w:t xml:space="preserve"> cuando existe desglose; si ambos están vacíos o en cero, Impuesto Interno puede conservar un valor independiente. Esa validación es deuda técnica externa y no debe resolverse con inferencias en React.</w:t>
      </w:r>
    </w:p>
    <w:p>
      <w:pPr>
        <w:pStyle w:val="Heading1"/>
      </w:pPr>
      <w:r>
        <w:rPr>
          <w:rFonts w:ascii="Calibri" w:hAnsi="Calibri" w:eastAsia="Calibri"/>
          <w:color w:val="1F2937"/>
          <w:sz w:val="32"/>
        </w:rPr>
        <w:t>19. Pruebas y validación técnica</w:t>
      </w:r>
    </w:p>
    <w:p>
      <w:pPr>
        <w:jc w:val="both"/>
      </w:pPr>
      <w:r>
        <w:rPr>
          <w:rFonts w:ascii="Calibri" w:hAnsi="Calibri" w:eastAsia="Calibri"/>
          <w:color w:val="1F2937"/>
          <w:sz w:val="22"/>
        </w:rPr>
        <w:t>La consolidación cuenta con estas verificaciones comprobables:</w:t>
      </w:r>
    </w:p>
    <w:p>
      <w:pPr>
        <w:pStyle w:val="ListBullet"/>
      </w:pPr>
      <w:r>
        <w:rPr>
          <w:rFonts w:ascii="Calibri" w:hAnsi="Calibri" w:eastAsia="Calibri"/>
          <w:color w:val="1F2937"/>
          <w:sz w:val="22"/>
        </w:rPr>
        <w:t xml:space="preserve">Build exitoso mediante </w:t>
      </w:r>
      <w:r>
        <w:rPr>
          <w:rFonts w:ascii="Consolas" w:hAnsi="Consolas" w:eastAsia="Consolas"/>
          <w:color w:val="1F2937"/>
          <w:sz w:val="20"/>
        </w:rPr>
        <w:t>node_modules/.bin/vite.cmd build</w:t>
      </w:r>
      <w:r>
        <w:rPr>
          <w:rFonts w:ascii="Calibri" w:hAnsi="Calibri" w:eastAsia="Calibri"/>
          <w:color w:val="1F2937"/>
          <w:sz w:val="22"/>
        </w:rPr>
        <w:t>, con Vite 8.0.16 y 1875 módulos transformados.</w:t>
      </w:r>
    </w:p>
    <w:p>
      <w:pPr>
        <w:pStyle w:val="ListBullet"/>
      </w:pPr>
      <w:r>
        <w:rPr>
          <w:rFonts w:ascii="Consolas" w:hAnsi="Consolas" w:eastAsia="Consolas"/>
          <w:color w:val="1F2937"/>
          <w:sz w:val="20"/>
        </w:rPr>
        <w:t>npm run build</w:t>
      </w:r>
      <w:r>
        <w:rPr>
          <w:rFonts w:ascii="Calibri" w:hAnsi="Calibri" w:eastAsia="Calibri"/>
          <w:color w:val="1F2937"/>
          <w:sz w:val="22"/>
        </w:rPr>
        <w:t xml:space="preserve"> falla por una instalación externa conocida de npm que no encuentra </w:t>
      </w:r>
      <w:r>
        <w:rPr>
          <w:rFonts w:ascii="Consolas" w:hAnsi="Consolas" w:eastAsia="Consolas"/>
          <w:color w:val="1F2937"/>
          <w:sz w:val="20"/>
        </w:rPr>
        <w:t>npm-cli.js</w:t>
      </w:r>
      <w:r>
        <w:rPr>
          <w:rFonts w:ascii="Calibri" w:hAnsi="Calibri" w:eastAsia="Calibri"/>
          <w:color w:val="1F2937"/>
          <w:sz w:val="22"/>
        </w:rPr>
        <w:t>; no es un error del bundle del proyecto.</w:t>
      </w:r>
    </w:p>
    <w:p>
      <w:pPr>
        <w:pStyle w:val="ListBullet"/>
      </w:pPr>
      <w:r>
        <w:rPr>
          <w:rFonts w:ascii="Calibri" w:hAnsi="Calibri" w:eastAsia="Calibri"/>
          <w:color w:val="1F2937"/>
          <w:sz w:val="22"/>
        </w:rPr>
        <w:t xml:space="preserve">ESLint de </w:t>
      </w:r>
      <w:r>
        <w:rPr>
          <w:rFonts w:ascii="Consolas" w:hAnsi="Consolas" w:eastAsia="Consolas"/>
          <w:color w:val="1F2937"/>
          <w:sz w:val="20"/>
        </w:rPr>
        <w:t>SESConfirmDialog.jsx</w:t>
      </w:r>
      <w:r>
        <w:rPr>
          <w:rFonts w:ascii="Calibri" w:hAnsi="Calibri" w:eastAsia="Calibri"/>
          <w:color w:val="1F2937"/>
          <w:sz w:val="22"/>
        </w:rPr>
        <w:t xml:space="preserve"> y </w:t>
      </w:r>
      <w:r>
        <w:rPr>
          <w:rFonts w:ascii="Consolas" w:hAnsi="Consolas" w:eastAsia="Consolas"/>
          <w:color w:val="1F2937"/>
          <w:sz w:val="20"/>
        </w:rPr>
        <w:t>SESFooterActions.jsx</w:t>
      </w:r>
      <w:r>
        <w:rPr>
          <w:rFonts w:ascii="Calibri" w:hAnsi="Calibri" w:eastAsia="Calibri"/>
          <w:color w:val="1F2937"/>
          <w:sz w:val="22"/>
        </w:rPr>
        <w:t xml:space="preserve"> sin errores.</w:t>
      </w:r>
    </w:p>
    <w:p>
      <w:pPr>
        <w:pStyle w:val="ListBullet"/>
      </w:pPr>
      <w:r>
        <w:rPr>
          <w:rFonts w:ascii="Consolas" w:hAnsi="Consolas" w:eastAsia="Consolas"/>
          <w:color w:val="1F2937"/>
          <w:sz w:val="20"/>
        </w:rPr>
        <w:t>NuevoComprobante.jsx</w:t>
      </w:r>
      <w:r>
        <w:rPr>
          <w:rFonts w:ascii="Calibri" w:hAnsi="Calibri" w:eastAsia="Calibri"/>
          <w:color w:val="1F2937"/>
          <w:sz w:val="22"/>
        </w:rPr>
        <w:t xml:space="preserve"> conserva cinco errores preexistentes por actualizaciones de estado en efectos, una función </w:t>
      </w:r>
      <w:r>
        <w:rPr>
          <w:rFonts w:ascii="Consolas" w:hAnsi="Consolas" w:eastAsia="Consolas"/>
          <w:color w:val="1F2937"/>
          <w:sz w:val="20"/>
        </w:rPr>
        <w:t>recalcularItem</w:t>
      </w:r>
      <w:r>
        <w:rPr>
          <w:rFonts w:ascii="Calibri" w:hAnsi="Calibri" w:eastAsia="Calibri"/>
          <w:color w:val="1F2937"/>
          <w:sz w:val="22"/>
        </w:rPr>
        <w:t xml:space="preserve"> sin uso y </w:t>
      </w:r>
      <w:r>
        <w:rPr>
          <w:rFonts w:ascii="Consolas" w:hAnsi="Consolas" w:eastAsia="Consolas"/>
          <w:color w:val="1F2937"/>
          <w:sz w:val="20"/>
        </w:rPr>
        <w:t>ErrMsg</w:t>
      </w:r>
      <w:r>
        <w:rPr>
          <w:rFonts w:ascii="Calibri" w:hAnsi="Calibri" w:eastAsia="Calibri"/>
          <w:color w:val="1F2937"/>
          <w:sz w:val="22"/>
        </w:rPr>
        <w:t xml:space="preserve"> definido durante render. No fueron parte de esta etapa.</w:t>
      </w:r>
    </w:p>
    <w:p>
      <w:pPr>
        <w:pStyle w:val="ListBullet"/>
      </w:pPr>
      <w:r>
        <w:rPr>
          <w:rFonts w:ascii="Consolas" w:hAnsi="Consolas" w:eastAsia="Consolas"/>
          <w:color w:val="1F2937"/>
          <w:sz w:val="20"/>
        </w:rPr>
        <w:t>git diff --check</w:t>
      </w:r>
      <w:r>
        <w:rPr>
          <w:rFonts w:ascii="Calibri" w:hAnsi="Calibri" w:eastAsia="Calibri"/>
          <w:color w:val="1F2937"/>
          <w:sz w:val="22"/>
        </w:rPr>
        <w:t xml:space="preserve"> correcto al cerrar las implementaciones y la documentación rectora.</w:t>
      </w:r>
    </w:p>
    <w:p>
      <w:pPr>
        <w:jc w:val="both"/>
      </w:pPr>
      <w:r>
        <w:rPr>
          <w:rFonts w:ascii="Calibri" w:hAnsi="Calibri" w:eastAsia="Calibri"/>
          <w:color w:val="1F2937"/>
          <w:sz w:val="22"/>
        </w:rPr>
        <w:t xml:space="preserve">La implementación fue revisada mediante inspección y build. La prueba interactiva completa de </w:t>
      </w:r>
      <w:r>
        <w:rPr>
          <w:rFonts w:ascii="Consolas" w:hAnsi="Consolas" w:eastAsia="Consolas"/>
          <w:color w:val="1F2937"/>
          <w:sz w:val="20"/>
        </w:rPr>
        <w:t>SESConfirmDialog</w:t>
      </w:r>
      <w:r>
        <w:rPr>
          <w:rFonts w:ascii="Calibri" w:hAnsi="Calibri" w:eastAsia="Calibri"/>
          <w:color w:val="1F2937"/>
          <w:sz w:val="22"/>
        </w:rPr>
        <w:t xml:space="preserve"> no pudo ejecutarse desde el navegador integrado porque no accedió al servidor local; permanece pendiente a cargo del operador. No se registran como realizadas pruebas visuales sin evidencia.</w:t>
      </w:r>
    </w:p>
    <w:p>
      <w:pPr>
        <w:pStyle w:val="Heading1"/>
        <w:pageBreakBefore/>
      </w:pPr>
      <w:r>
        <w:rPr>
          <w:rFonts w:ascii="Calibri" w:hAnsi="Calibri" w:eastAsia="Calibri"/>
          <w:color w:val="1F2937"/>
          <w:sz w:val="32"/>
        </w:rPr>
        <w:t>20. Estado final de la consolidación</w:t>
      </w:r>
    </w:p>
    <w:p>
      <w:pPr>
        <w:jc w:val="both"/>
      </w:pPr>
      <w:r>
        <w:rPr>
          <w:rFonts w:ascii="Calibri" w:hAnsi="Calibri" w:eastAsia="Calibri"/>
          <w:color w:val="1F2937"/>
          <w:sz w:val="22"/>
        </w:rPr>
        <w:t xml:space="preserve">La arquitectura del frontend v1 está estabilizada. </w:t>
      </w:r>
      <w:r>
        <w:rPr>
          <w:rFonts w:ascii="Consolas" w:hAnsi="Consolas" w:eastAsia="Consolas"/>
          <w:color w:val="1F2937"/>
          <w:sz w:val="20"/>
        </w:rPr>
        <w:t>NuevoComprobante</w:t>
      </w:r>
      <w:r>
        <w:rPr>
          <w:rFonts w:ascii="Calibri" w:hAnsi="Calibri" w:eastAsia="Calibri"/>
          <w:color w:val="1F2937"/>
          <w:sz w:val="22"/>
        </w:rPr>
        <w:t xml:space="preserve"> deja de estar en refactor estructural: existe un orquestador definido, variaciones centralizadas, componentes de ítems especializados y primitivas comunes de Feedback.</w:t>
      </w:r>
    </w:p>
    <w:p>
      <w:pPr>
        <w:jc w:val="both"/>
      </w:pPr>
      <w:r>
        <w:rPr>
          <w:rFonts w:ascii="Calibri" w:hAnsi="Calibri" w:eastAsia="Calibri"/>
          <w:color w:val="1F2937"/>
          <w:sz w:val="22"/>
        </w:rPr>
        <w:t>La Etapa 1 puede considerarse estructuralmente cerrada, en concordancia con el ROADMAP. Las futuras modificaciones deberían ser incrementales y respetar los límites actuales. Esto no impide mejoras UX, correcciones funcionales puntuales ni evolución de la documentación.</w:t>
      </w:r>
    </w:p>
    <w:p>
      <w:pPr>
        <w:pStyle w:val="Heading1"/>
      </w:pPr>
      <w:r>
        <w:rPr>
          <w:rFonts w:ascii="Calibri" w:hAnsi="Calibri" w:eastAsia="Calibri"/>
          <w:color w:val="1F2937"/>
          <w:sz w:val="32"/>
        </w:rPr>
        <w:t>21. Pendientes relacionados</w:t>
      </w:r>
    </w:p>
    <w:p>
      <w:pPr>
        <w:pStyle w:val="Heading2"/>
      </w:pPr>
      <w:r>
        <w:rPr>
          <w:rFonts w:ascii="Calibri" w:hAnsi="Calibri" w:eastAsia="Calibri"/>
          <w:color w:val="1F2937"/>
          <w:sz w:val="26"/>
        </w:rPr>
        <w:t>Mejoras UX</w:t>
      </w:r>
    </w:p>
    <w:p>
      <w:pPr>
        <w:pStyle w:val="ListBullet"/>
      </w:pPr>
      <w:r>
        <w:rPr>
          <w:rFonts w:ascii="Calibri" w:hAnsi="Calibri" w:eastAsia="Calibri"/>
          <w:color w:val="1F2937"/>
          <w:sz w:val="22"/>
        </w:rPr>
        <w:t xml:space="preserve">Sustituir el </w:t>
      </w:r>
      <w:r>
        <w:rPr>
          <w:rFonts w:ascii="Consolas" w:hAnsi="Consolas" w:eastAsia="Consolas"/>
          <w:color w:val="1F2937"/>
          <w:sz w:val="20"/>
        </w:rPr>
        <w:t>window.confirm</w:t>
      </w:r>
      <w:r>
        <w:rPr>
          <w:rFonts w:ascii="Calibri" w:hAnsi="Calibri" w:eastAsia="Calibri"/>
          <w:color w:val="1F2937"/>
          <w:sz w:val="22"/>
        </w:rPr>
        <w:t xml:space="preserve"> del cambio detallado/simplificado por una confirmación SES.</w:t>
      </w:r>
    </w:p>
    <w:p>
      <w:pPr>
        <w:pStyle w:val="ListBullet"/>
      </w:pPr>
      <w:r>
        <w:rPr>
          <w:rFonts w:ascii="Calibri" w:hAnsi="Calibri" w:eastAsia="Calibri"/>
          <w:color w:val="1F2937"/>
          <w:sz w:val="22"/>
        </w:rPr>
        <w:t>Mostrar un error visual específico en búsquedas de artículos.</w:t>
      </w:r>
    </w:p>
    <w:p>
      <w:pPr>
        <w:pStyle w:val="ListBullet"/>
      </w:pPr>
      <w:r>
        <w:rPr>
          <w:rFonts w:ascii="Calibri" w:hAnsi="Calibri" w:eastAsia="Calibri"/>
          <w:color w:val="1F2937"/>
          <w:sz w:val="22"/>
        </w:rPr>
        <w:t>Ajustar la presentación de la alícuota IVA 10,50 %.</w:t>
      </w:r>
    </w:p>
    <w:p>
      <w:pPr>
        <w:pStyle w:val="Heading2"/>
      </w:pPr>
      <w:r>
        <w:rPr>
          <w:rFonts w:ascii="Calibri" w:hAnsi="Calibri" w:eastAsia="Calibri"/>
          <w:color w:val="1F2937"/>
          <w:sz w:val="26"/>
        </w:rPr>
        <w:t>Pendientes funcionales</w:t>
      </w:r>
    </w:p>
    <w:p>
      <w:pPr>
        <w:pStyle w:val="ListBullet"/>
      </w:pPr>
      <w:r>
        <w:rPr>
          <w:rFonts w:ascii="Calibri" w:hAnsi="Calibri" w:eastAsia="Calibri"/>
          <w:color w:val="1F2937"/>
          <w:sz w:val="22"/>
        </w:rPr>
        <w:t>Validar definitivamente el motivo obligatorio en NC/ND internas.</w:t>
      </w:r>
    </w:p>
    <w:p>
      <w:pPr>
        <w:pStyle w:val="ListBullet"/>
      </w:pPr>
      <w:r>
        <w:rPr>
          <w:rFonts w:ascii="Calibri" w:hAnsi="Calibri" w:eastAsia="Calibri"/>
          <w:color w:val="1F2937"/>
          <w:sz w:val="22"/>
        </w:rPr>
        <w:t>Implementar numeración automática de notas internas.</w:t>
      </w:r>
    </w:p>
    <w:p>
      <w:pPr>
        <w:pStyle w:val="ListBullet"/>
      </w:pPr>
      <w:r>
        <w:rPr>
          <w:rFonts w:ascii="Calibri" w:hAnsi="Calibri" w:eastAsia="Calibri"/>
          <w:color w:val="1F2937"/>
          <w:sz w:val="22"/>
        </w:rPr>
        <w:t>Incorporar movimientos de cuenta corriente para notas internas.</w:t>
      </w:r>
    </w:p>
    <w:p>
      <w:pPr>
        <w:pStyle w:val="ListBullet"/>
      </w:pPr>
      <w:r>
        <w:rPr>
          <w:rFonts w:ascii="Calibri" w:hAnsi="Calibri" w:eastAsia="Calibri"/>
          <w:color w:val="1F2937"/>
          <w:sz w:val="22"/>
        </w:rPr>
        <w:t>Asociar Remitos con Facturas y Órdenes de Compra.</w:t>
      </w:r>
    </w:p>
    <w:p>
      <w:pPr>
        <w:pStyle w:val="Heading2"/>
      </w:pPr>
      <w:r>
        <w:rPr>
          <w:rFonts w:ascii="Calibri" w:hAnsi="Calibri" w:eastAsia="Calibri"/>
          <w:color w:val="1F2937"/>
          <w:sz w:val="26"/>
        </w:rPr>
        <w:t>Integraciones</w:t>
      </w:r>
    </w:p>
    <w:p>
      <w:pPr>
        <w:pStyle w:val="ListBullet"/>
      </w:pPr>
      <w:r>
        <w:rPr>
          <w:rFonts w:ascii="Calibri" w:hAnsi="Calibri" w:eastAsia="Calibri"/>
          <w:color w:val="1F2937"/>
          <w:sz w:val="22"/>
        </w:rPr>
        <w:t>Incorporar búsqueda por Código SES y su endpoint WinDev.</w:t>
      </w:r>
    </w:p>
    <w:p>
      <w:pPr>
        <w:pStyle w:val="ListBullet"/>
      </w:pPr>
      <w:r>
        <w:rPr>
          <w:rFonts w:ascii="Calibri" w:hAnsi="Calibri" w:eastAsia="Calibri"/>
          <w:color w:val="1F2937"/>
          <w:sz w:val="22"/>
        </w:rPr>
        <w:t>Confirmar definitivamente el mapeo del id de artículo en Remitos.</w:t>
      </w:r>
    </w:p>
    <w:p>
      <w:pPr>
        <w:pStyle w:val="ListBullet"/>
      </w:pPr>
      <w:r>
        <w:rPr>
          <w:rFonts w:ascii="Calibri" w:hAnsi="Calibri" w:eastAsia="Calibri"/>
          <w:color w:val="1F2937"/>
          <w:sz w:val="22"/>
        </w:rPr>
        <w:t>Implementar reversa o anulación de stock.</w:t>
      </w:r>
    </w:p>
    <w:p>
      <w:pPr>
        <w:pStyle w:val="ListBullet"/>
      </w:pPr>
      <w:r>
        <w:rPr>
          <w:rFonts w:ascii="Calibri" w:hAnsi="Calibri" w:eastAsia="Calibri"/>
          <w:color w:val="1F2937"/>
          <w:sz w:val="22"/>
        </w:rPr>
        <w:t>Definir reintentos o compensación ante resultados inciertos de WinDev.</w:t>
      </w:r>
    </w:p>
    <w:p>
      <w:pPr>
        <w:pStyle w:val="Heading2"/>
      </w:pPr>
      <w:r>
        <w:rPr>
          <w:rFonts w:ascii="Calibri" w:hAnsi="Calibri" w:eastAsia="Calibri"/>
          <w:color w:val="1F2937"/>
          <w:sz w:val="26"/>
        </w:rPr>
        <w:t>Documentación</w:t>
      </w:r>
    </w:p>
    <w:p>
      <w:pPr>
        <w:pStyle w:val="ListBullet"/>
      </w:pPr>
      <w:r>
        <w:rPr>
          <w:rFonts w:ascii="Calibri" w:hAnsi="Calibri" w:eastAsia="Calibri"/>
          <w:color w:val="1F2937"/>
          <w:sz w:val="22"/>
        </w:rPr>
        <w:t>Elaborar la documentación final DOCX en una etapa separada.</w:t>
      </w:r>
    </w:p>
    <w:p>
      <w:pPr>
        <w:pStyle w:val="Heading2"/>
      </w:pPr>
      <w:r>
        <w:rPr>
          <w:rFonts w:ascii="Calibri" w:hAnsi="Calibri" w:eastAsia="Calibri"/>
          <w:color w:val="1F2937"/>
          <w:sz w:val="26"/>
        </w:rPr>
        <w:t>Deuda técnica externa</w:t>
      </w:r>
    </w:p>
    <w:p>
      <w:pPr>
        <w:pStyle w:val="ListBullet"/>
      </w:pPr>
      <w:r>
        <w:rPr>
          <w:rFonts w:ascii="Calibri" w:hAnsi="Calibri" w:eastAsia="Calibri"/>
          <w:color w:val="1F2937"/>
          <w:sz w:val="22"/>
        </w:rPr>
        <w:t>Validar en el mantenimiento WinDev la coherencia entre ICL, IDC e Impuesto Interno.</w:t>
      </w:r>
    </w:p>
    <w:p>
      <w:pPr>
        <w:pStyle w:val="Heading1"/>
      </w:pPr>
      <w:r>
        <w:rPr>
          <w:rFonts w:ascii="Calibri" w:hAnsi="Calibri" w:eastAsia="Calibri"/>
          <w:color w:val="1F2937"/>
          <w:sz w:val="32"/>
        </w:rPr>
        <w:t>22. Referencias</w:t>
      </w:r>
    </w:p>
    <w:p>
      <w:pPr>
        <w:pStyle w:val="ListBullet"/>
      </w:pPr>
      <w:r>
        <w:rPr>
          <w:rFonts w:ascii="Calibri" w:hAnsi="Calibri" w:eastAsia="Calibri"/>
          <w:color w:val="1F2937"/>
          <w:sz w:val="22"/>
        </w:rPr>
        <w:t>Estado actual del proyecto (../00-Proyecto/Estado-Actual.md)</w:t>
      </w:r>
    </w:p>
    <w:p>
      <w:pPr>
        <w:pStyle w:val="ListBullet"/>
      </w:pPr>
      <w:r>
        <w:rPr>
          <w:rFonts w:ascii="Calibri" w:hAnsi="Calibri" w:eastAsia="Calibri"/>
          <w:color w:val="1F2937"/>
          <w:sz w:val="22"/>
        </w:rPr>
        <w:t>CHANGELOG (../00-Proyecto/CHANGELOG.md)</w:t>
      </w:r>
    </w:p>
    <w:p>
      <w:pPr>
        <w:pStyle w:val="ListBullet"/>
      </w:pPr>
      <w:r>
        <w:rPr>
          <w:rFonts w:ascii="Calibri" w:hAnsi="Calibri" w:eastAsia="Calibri"/>
          <w:color w:val="1F2937"/>
          <w:sz w:val="22"/>
        </w:rPr>
        <w:t>ROADMAP (../00-Proyecto/Roadmap.md)</w:t>
      </w:r>
    </w:p>
    <w:p>
      <w:pPr>
        <w:pStyle w:val="ListBullet"/>
      </w:pPr>
      <w:r>
        <w:rPr>
          <w:rFonts w:ascii="Calibri" w:hAnsi="Calibri" w:eastAsia="Calibri"/>
          <w:color w:val="1F2937"/>
          <w:sz w:val="22"/>
        </w:rPr>
        <w:t>SES UI Guide (../99-Historico/Frontend/SES-UI-Guide.md)</w:t>
      </w:r>
    </w:p>
    <w:p>
      <w:pPr>
        <w:pStyle w:val="ListBullet"/>
      </w:pPr>
      <w:r>
        <w:rPr>
          <w:rFonts w:ascii="Calibri" w:hAnsi="Calibri" w:eastAsia="Calibri"/>
          <w:color w:val="1F2937"/>
          <w:sz w:val="22"/>
        </w:rPr>
        <w:t>Génesis del SES Design System (../99-Historico/Frontend/02-SES-Genesis.md)</w:t>
      </w:r>
    </w:p>
    <w:p>
      <w:pPr>
        <w:pStyle w:val="ListBullet"/>
      </w:pPr>
      <w:r>
        <w:rPr>
          <w:rFonts w:ascii="Calibri" w:hAnsi="Calibri" w:eastAsia="Calibri"/>
          <w:color w:val="1F2937"/>
          <w:sz w:val="22"/>
        </w:rPr>
        <w:t>SES Design System v1.0 (../99-Historico/Frontend/03-SES-Design-System.md)</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3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color w:val="5A6370"/>
        <w:sz w:val="18"/>
      </w:rPr>
      <w:t>SES Compras</w:t>
      <w:br/>
      <w:t>Frontend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40"/>
      <w:contextualSpacing/>
    </w:pPr>
    <w:rPr>
      <w:rFonts w:ascii="Calibri" w:hAnsi="Calibri"/>
      <w:sz w:val="22"/>
    </w:rPr>
  </w:style>
  <w:style w:type="paragraph" w:styleId="ListBullet2">
    <w:name w:val="List Bullet 2"/>
    <w:basedOn w:val="Normal"/>
    <w:uiPriority w:val="99"/>
    <w:unhideWhenUsed/>
    <w:rsid w:val="00326F90"/>
    <w:pPr>
      <w:numPr>
        <w:numId w:val="2"/>
      </w:numPr>
      <w:spacing w:line="276" w:lineRule="auto" w:after="4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40"/>
      <w:contextualSpacing/>
    </w:pPr>
    <w:rPr>
      <w:rFonts w:ascii="Calibri" w:hAnsi="Calibri"/>
      <w:sz w:val="22"/>
    </w:rPr>
  </w:style>
  <w:style w:type="paragraph" w:styleId="ListNumber2">
    <w:name w:val="List Number 2"/>
    <w:basedOn w:val="Normal"/>
    <w:uiPriority w:val="99"/>
    <w:unhideWhenUsed/>
    <w:rsid w:val="0029639D"/>
    <w:pPr>
      <w:numPr>
        <w:numId w:val="6"/>
      </w:numPr>
      <w:spacing w:line="276" w:lineRule="auto" w:after="40"/>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 Compras — Consolidación del Frontend v1</dc:title>
  <dc:subject>Arquitectura estabilizada de NuevoComprobante y componentes asociados</dc:subject>
  <dc:creator>SES ERP</dc:creator>
  <cp:keywords>SES Compras, Frontend v1, NuevoComprobante, React</cp:keywords>
  <dc:description>generated by python-docx</dc:description>
  <cp:lastModifiedBy/>
  <cp:revision>1</cp:revision>
  <dcterms:created xsi:type="dcterms:W3CDTF">2013-12-23T23:15:00Z</dcterms:created>
  <dcterms:modified xsi:type="dcterms:W3CDTF">2013-12-23T23:15:00Z</dcterms:modified>
  <cp:category/>
</cp:coreProperties>
</file>