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SES Compras</w:t>
        <w:br/>
        <w:t>01 - Filosofía y Arquitectura</w:t>
      </w:r>
    </w:p>
    <w:p>
      <w:pPr>
        <w:jc w:val="center"/>
      </w:pPr>
      <w:r>
        <w:t>Documento Maestro del Backend</w:t>
        <w:br/>
        <w:t>Versión 2.0 (Borrador)</w:t>
        <w:br/>
        <w:t>Julio 2026</w:t>
      </w:r>
    </w:p>
    <w:p>
      <w:pPr>
        <w:pStyle w:val="Heading1"/>
      </w:pPr>
      <w:r>
        <w:t>1. Introducción</w:t>
      </w:r>
    </w:p>
    <w:p>
      <w:pPr>
        <w:pStyle w:val="Heading2"/>
      </w:pPr>
      <w:r>
        <w:t>1.1 Propósito</w:t>
      </w:r>
    </w:p>
    <w:p>
      <w:r>
        <w:t>SES Compras es el módulo de gestión de compras del ERP SES. Su objetivo es incorporar una plataforma moderna para la administración de compras sin reemplazar el núcleo operativo desarrollado en WinDev y HFSQL. La arquitectura fue concebida para evolucionar el sistema de forma incremental.</w:t>
      </w:r>
    </w:p>
    <w:p>
      <w:pPr>
        <w:pStyle w:val="Heading2"/>
      </w:pPr>
      <w:r>
        <w:t>1.2 Objetivos arquitectónicos</w:t>
      </w:r>
    </w:p>
    <w:p>
      <w:pPr>
        <w:pStyle w:val="ListBullet"/>
      </w:pPr>
      <w:r>
        <w:t>Preservar la inversión en el sistema legado.</w:t>
      </w:r>
    </w:p>
    <w:p>
      <w:pPr>
        <w:pStyle w:val="ListBullet"/>
      </w:pPr>
      <w:r>
        <w:t>Desacoplar la interfaz de usuario del núcleo operativo.</w:t>
      </w:r>
    </w:p>
    <w:p>
      <w:pPr>
        <w:pStyle w:val="ListBullet"/>
      </w:pPr>
      <w:r>
        <w:t>Mantener la consistencia entre PostgreSQL y HFSQL.</w:t>
      </w:r>
    </w:p>
    <w:p>
      <w:pPr>
        <w:pStyle w:val="ListBullet"/>
      </w:pPr>
      <w:r>
        <w:t>Permitir una evolución progresiva y no disruptiva.</w:t>
      </w:r>
    </w:p>
    <w:p>
      <w:pPr>
        <w:pStyle w:val="Heading1"/>
      </w:pPr>
      <w:r>
        <w:t>2. Filosofía del Proyecto</w:t>
      </w:r>
    </w:p>
    <w:p>
      <w:r>
        <w:t>SES Compras extiende el ERP existente; no pretende reemplazarlo. WinDev conserva las reglas operativas maduras mientras React, Node.js y PostgreSQL incorporan nuevas capacidades.</w:t>
      </w:r>
    </w:p>
    <w:p>
      <w:pPr>
        <w:pStyle w:val="Heading1"/>
      </w:pPr>
      <w:r>
        <w:t>3. Principios Arquitectónicos</w:t>
      </w:r>
    </w:p>
    <w:tbl>
      <w:tblPr>
        <w:tblStyle w:val="TableGrid"/>
        <w:tblW w:type="auto" w:w="0"/>
        <w:tblLook w:firstColumn="1" w:firstRow="1" w:lastColumn="0" w:lastRow="0" w:noHBand="0" w:noVBand="1" w:val="04A0"/>
      </w:tblPr>
      <w:tblGrid>
        <w:gridCol w:w="4320"/>
        <w:gridCol w:w="4320"/>
      </w:tblGrid>
      <w:tr>
        <w:tc>
          <w:tcPr>
            <w:tcW w:type="dxa" w:w="4320"/>
          </w:tcPr>
          <w:p>
            <w:r>
              <w:t>Principio</w:t>
            </w:r>
          </w:p>
        </w:tc>
        <w:tc>
          <w:tcPr>
            <w:tcW w:type="dxa" w:w="4320"/>
          </w:tcPr>
          <w:p>
            <w:r>
              <w:t>Descripción</w:t>
            </w:r>
          </w:p>
        </w:tc>
      </w:tr>
      <w:tr>
        <w:tc>
          <w:tcPr>
            <w:tcW w:type="dxa" w:w="4320"/>
          </w:tcPr>
          <w:p>
            <w:r>
              <w:t>Fuente única de verdad</w:t>
            </w:r>
          </w:p>
        </w:tc>
        <w:tc>
          <w:tcPr>
            <w:tcW w:type="dxa" w:w="4320"/>
          </w:tcPr>
          <w:p>
            <w:r>
              <w:t>Cada dominio tiene un sistema propietario.</w:t>
            </w:r>
          </w:p>
        </w:tc>
      </w:tr>
      <w:tr>
        <w:tc>
          <w:tcPr>
            <w:tcW w:type="dxa" w:w="4320"/>
          </w:tcPr>
          <w:p>
            <w:r>
              <w:t>Encapsulación del legado</w:t>
            </w:r>
          </w:p>
        </w:tc>
        <w:tc>
          <w:tcPr>
            <w:tcW w:type="dxa" w:w="4320"/>
          </w:tcPr>
          <w:p>
            <w:r>
              <w:t>WinDev queda aislado mediante API REST.</w:t>
            </w:r>
          </w:p>
        </w:tc>
      </w:tr>
      <w:tr>
        <w:tc>
          <w:tcPr>
            <w:tcW w:type="dxa" w:w="4320"/>
          </w:tcPr>
          <w:p>
            <w:r>
              <w:t>Consistencia eventual</w:t>
            </w:r>
          </w:p>
        </w:tc>
        <w:tc>
          <w:tcPr>
            <w:tcW w:type="dxa" w:w="4320"/>
          </w:tcPr>
          <w:p>
            <w:r>
              <w:t>Se usa confirmación e idempotencia entre motores.</w:t>
            </w:r>
          </w:p>
        </w:tc>
      </w:tr>
      <w:tr>
        <w:tc>
          <w:tcPr>
            <w:tcW w:type="dxa" w:w="4320"/>
          </w:tcPr>
          <w:p>
            <w:r>
              <w:t>Evolución incremental</w:t>
            </w:r>
          </w:p>
        </w:tc>
        <w:tc>
          <w:tcPr>
            <w:tcW w:type="dxa" w:w="4320"/>
          </w:tcPr>
          <w:p>
            <w:r>
              <w:t>Se incorporan capacidades por etapas.</w:t>
            </w:r>
          </w:p>
        </w:tc>
      </w:tr>
      <w:tr>
        <w:tc>
          <w:tcPr>
            <w:tcW w:type="dxa" w:w="4320"/>
          </w:tcPr>
          <w:p>
            <w:r>
              <w:t>Idempotencia</w:t>
            </w:r>
          </w:p>
        </w:tc>
        <w:tc>
          <w:tcPr>
            <w:tcW w:type="dxa" w:w="4320"/>
          </w:tcPr>
          <w:p>
            <w:r>
              <w:t>operacionID permite reintentos seguros.</w:t>
            </w:r>
          </w:p>
        </w:tc>
      </w:tr>
    </w:tbl>
    <w:p>
      <w:pPr>
        <w:pStyle w:val="Heading1"/>
      </w:pPr>
      <w:r>
        <w:t>4. Arquitectura General</w:t>
      </w:r>
    </w:p>
    <w:p>
      <w:r>
        <w:t>Usuario → React (SES UI) → Node.js → PostgreSQL y WinDev API → HFSQL → Respuesta.</w:t>
      </w:r>
    </w:p>
    <w:p>
      <w:pPr>
        <w:pStyle w:val="Heading1"/>
      </w:pPr>
      <w:r>
        <w:t>5. Responsabilidad de los Componentes</w:t>
      </w:r>
    </w:p>
    <w:tbl>
      <w:tblPr>
        <w:tblStyle w:val="TableGrid"/>
        <w:tblW w:type="auto" w:w="0"/>
        <w:tblLook w:firstColumn="1" w:firstRow="1" w:lastColumn="0" w:lastRow="0" w:noHBand="0" w:noVBand="1" w:val="04A0"/>
      </w:tblPr>
      <w:tblGrid>
        <w:gridCol w:w="4320"/>
        <w:gridCol w:w="4320"/>
      </w:tblGrid>
      <w:tr>
        <w:tc>
          <w:tcPr>
            <w:tcW w:type="dxa" w:w="4320"/>
          </w:tcPr>
          <w:p>
            <w:r>
              <w:t>Componente</w:t>
            </w:r>
          </w:p>
        </w:tc>
        <w:tc>
          <w:tcPr>
            <w:tcW w:type="dxa" w:w="4320"/>
          </w:tcPr>
          <w:p>
            <w:r>
              <w:t>Responsabilidad</w:t>
            </w:r>
          </w:p>
        </w:tc>
      </w:tr>
      <w:tr>
        <w:tc>
          <w:tcPr>
            <w:tcW w:type="dxa" w:w="4320"/>
          </w:tcPr>
          <w:p>
            <w:r>
              <w:t>React</w:t>
            </w:r>
          </w:p>
        </w:tc>
        <w:tc>
          <w:tcPr>
            <w:tcW w:type="dxa" w:w="4320"/>
          </w:tcPr>
          <w:p>
            <w:r>
              <w:t>Interfaz de usuario.</w:t>
            </w:r>
          </w:p>
        </w:tc>
      </w:tr>
      <w:tr>
        <w:tc>
          <w:tcPr>
            <w:tcW w:type="dxa" w:w="4320"/>
          </w:tcPr>
          <w:p>
            <w:r>
              <w:t>Node.js</w:t>
            </w:r>
          </w:p>
        </w:tc>
        <w:tc>
          <w:tcPr>
            <w:tcW w:type="dxa" w:w="4320"/>
          </w:tcPr>
          <w:p>
            <w:r>
              <w:t>Coordinación del módulo Compras.</w:t>
            </w:r>
          </w:p>
        </w:tc>
      </w:tr>
      <w:tr>
        <w:tc>
          <w:tcPr>
            <w:tcW w:type="dxa" w:w="4320"/>
          </w:tcPr>
          <w:p>
            <w:r>
              <w:t>PostgreSQL</w:t>
            </w:r>
          </w:p>
        </w:tc>
        <w:tc>
          <w:tcPr>
            <w:tcW w:type="dxa" w:w="4320"/>
          </w:tcPr>
          <w:p>
            <w:r>
              <w:t>Persistencia documental.</w:t>
            </w:r>
          </w:p>
        </w:tc>
      </w:tr>
      <w:tr>
        <w:tc>
          <w:tcPr>
            <w:tcW w:type="dxa" w:w="4320"/>
          </w:tcPr>
          <w:p>
            <w:r>
              <w:t>WinDev</w:t>
            </w:r>
          </w:p>
        </w:tc>
        <w:tc>
          <w:tcPr>
            <w:tcW w:type="dxa" w:w="4320"/>
          </w:tcPr>
          <w:p>
            <w:r>
              <w:t>Integración con el ERP.</w:t>
            </w:r>
          </w:p>
        </w:tc>
      </w:tr>
      <w:tr>
        <w:tc>
          <w:tcPr>
            <w:tcW w:type="dxa" w:w="4320"/>
          </w:tcPr>
          <w:p>
            <w:r>
              <w:t>HFSQL</w:t>
            </w:r>
          </w:p>
        </w:tc>
        <w:tc>
          <w:tcPr>
            <w:tcW w:type="dxa" w:w="4320"/>
          </w:tcPr>
          <w:p>
            <w:r>
              <w:t>Fuente de verdad para stock, costos y maestros.</w:t>
            </w:r>
          </w:p>
        </w:tc>
      </w:tr>
    </w:tbl>
    <w:p>
      <w:pPr>
        <w:pStyle w:val="Heading1"/>
      </w:pPr>
      <w:r>
        <w:t>6. Flujo General</w:t>
      </w:r>
    </w:p>
    <w:p>
      <w:r>
        <w:t>Una petición parte del frontend React, es coordinada por Node.js, persiste en PostgreSQL y, cuando corresponde, invoca WinDev para operar sobre HFSQL. La confirmación utiliza el protocolo de idempotencia.</w:t>
      </w:r>
    </w:p>
    <w:p>
      <w:pPr>
        <w:pStyle w:val="Heading1"/>
      </w:pPr>
      <w:r>
        <w:t>7. Decisiones Arquitectónicas</w:t>
      </w:r>
    </w:p>
    <w:p>
      <w:pPr>
        <w:pStyle w:val="ListBullet"/>
      </w:pPr>
      <w:r>
        <w:t>PostgreSQL como base documental del módulo Compras.</w:t>
      </w:r>
    </w:p>
    <w:p>
      <w:pPr>
        <w:pStyle w:val="ListBullet"/>
      </w:pPr>
      <w:r>
        <w:t>HFSQL como autoridad operacional.</w:t>
      </w:r>
    </w:p>
    <w:p>
      <w:pPr>
        <w:pStyle w:val="ListBullet"/>
      </w:pPr>
      <w:r>
        <w:t>Integración mediante REST.</w:t>
      </w:r>
    </w:p>
    <w:p>
      <w:pPr>
        <w:pStyle w:val="ListBullet"/>
      </w:pPr>
      <w:r>
        <w:t>Protocolo de idempotencia basado en operacionID.</w:t>
      </w:r>
    </w:p>
    <w:p>
      <w:pPr>
        <w:pStyle w:val="Heading1"/>
      </w:pPr>
      <w:r>
        <w:t>8. Riesgos conocidos</w:t>
      </w:r>
    </w:p>
    <w:p>
      <w:pPr>
        <w:pStyle w:val="ListBullet"/>
      </w:pPr>
      <w:r>
        <w:t>No existen transacciones distribuidas entre PostgreSQL y HFSQL.</w:t>
      </w:r>
    </w:p>
    <w:p>
      <w:pPr>
        <w:pStyle w:val="ListBullet"/>
      </w:pPr>
      <w:r>
        <w:t>La idempotencia debe extenderse al resto de procesos.</w:t>
      </w:r>
    </w:p>
    <w:p>
      <w:pPr>
        <w:pStyle w:val="ListBullet"/>
      </w:pPr>
      <w:r>
        <w:t>Los contratos Node–WinDev deben mantenerse sincronizados.</w:t>
      </w:r>
    </w:p>
    <w:p>
      <w:pPr>
        <w:pStyle w:val="Heading1"/>
      </w:pPr>
      <w:r>
        <w:t>9. Evolución prevista</w:t>
      </w:r>
    </w:p>
    <w:p>
      <w:r>
        <w:t>Persistencia → Sincronización → Stock → Idempotencia → Cuenta Corriente → OCR → Órdenes de Compra → Pagos → Libro IVA Compras.</w:t>
      </w:r>
    </w:p>
    <w:p>
      <w:pPr>
        <w:pStyle w:val="Heading1"/>
      </w:pPr>
      <w:r>
        <w:t>Observación</w:t>
      </w:r>
    </w:p>
    <w:p>
      <w:r>
        <w:t>Este documento es el documento maestro de arquitectura del backend. Los aspectos específicos se desarrollarán en documentos independientes.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