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PeovichSoft — gestionCompras</w:t>
      </w:r>
    </w:p>
    <w:p>
      <w:pPr>
        <w:jc w:val="center"/>
      </w:pPr>
      <w:r>
        <w:rPr>
          <w:color w:val="404040"/>
          <w:sz w:val="28"/>
          <w:szCs w:val="28"/>
        </w:rPr>
        <w:t xml:space="preserve">Módulo de Compras Web</w:t>
      </w: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Documento de Estado — v1.1.0</w:t>
      </w:r>
    </w:p>
    <w:p>
      <w:pPr>
        <w:jc w:val="center"/>
      </w:pPr>
      <w:r>
        <w:rPr>
          <w:color w:val="808080"/>
          <w:sz w:val="22"/>
          <w:szCs w:val="22"/>
        </w:rPr>
        <w:t xml:space="preserve">Julio 2026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1. Contexto — Impuestos en Facturación Argentina</w:t>
      </w:r>
    </w:p>
    <w:p>
      <w:pPr>
        <w:jc w:val="left"/>
      </w:pPr>
      <w:r>
        <w:rPr>
          <w:sz w:val="20"/>
          <w:szCs w:val="20"/>
        </w:rPr>
        <w:t xml:space="preserve">La facturación argentina contempla múltiples impuestos por línea y por comprobante, discriminados por tipo de artículo y jurisdicción. El caso más complejo es el de combustibles (estaciones de servicio), que combina IVA + ICL + IDC + percepciones provinciales/municipales.</w:t>
      </w:r>
    </w:p>
    <w:p>
      <w:r>
        <w:t xml:space="preserve"/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El ITC (Impuesto a la Transferencia de Combustibles) fue reemplazado por el ICL (Impuesto a los Combustibles Líquidos) bajo la Ley 27.430. Trafigura y otros proveedores aún facturan con la sigla "ITC" — el sistema mapea internamente a ICL (tributo_id=8).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2. Modelo de Impuestos por Línea de Detalle</w:t>
      </w:r>
    </w:p>
    <w:p>
      <w:pPr>
        <w:jc w:val="left"/>
      </w:pPr>
      <w:r>
        <w:rPr>
          <w:sz w:val="20"/>
          <w:szCs w:val="20"/>
        </w:rPr>
        <w:t xml:space="preserve">Cada artículo puede tener distinta alícuota de IVA e impuestos propios. El sistema calcula automáticamente los totales del pie agrupando desde las líneas.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SERIAL PK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comprobante_id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 FK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compras_comprobantes.id ON DELETE CASCADE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hfsql_articulos_id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-99 = concepto manual, &gt;0 = artículo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articulo_codigo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 para conceptos manuales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articulo_descrip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Snapshot o texto libre (máx. 50 chars en HFSQL)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NUMERIC(12,4)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precio_costo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NUMERIC(14,4)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unitario neto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alicuota_iva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IVA del artículo (ej: 21.00, 10.50, 0.00)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× precio_costo × alicuota_iva / 100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importe_icl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unitario × cantidad (0 si no aplica)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importe_idc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 unitario × cantidad (0 si no aplica)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importe_imp_interno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 × cantidad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importe_linea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NUMERIC(14,2)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× precio_costo (neto, sin impuestos)</w:t>
            </w:r>
          </w:p>
        </w:tc>
      </w:tr>
    </w:tbl>
    <w:p>
      <w:r>
        <w:t xml:space="preserve"/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Líneas con hfsql_articulos_id=-99 (conceptos manuales): importe_icl, importe_idc e importe_imp_interno = 0. Solo llevan precio_costo e importe_linea. La descripción es OBLIGATORIA.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3. tributosSubTabla HFSQL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Abrev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Impuestos Internos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Imp.Int.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Cigarrillos, gaseosas. 0 en combustibles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Combustibles Líquidos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 ITC (Ley 27.430)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Dióxido de Carbono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Nacional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 Pcia. Bs.As.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Provincial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Tasa Munic. Combustibles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T.MuniComb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Municipal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4. Pie del Comprobante — Cálculo y Persistencia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4.1 Ejemplo con factura Trafigura combustibles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Persistencia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Subtotal neto gravado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$ 57.829.475,10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para IVA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 21%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$ 12.144.189,77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tributo_id=1 → iva_detalle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(antes ITC)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$ 11.810.306,06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tributo_id=8 →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$ 1.073.968,79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tributo_id=9 → tributos_detalle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desde líneas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$ 0,00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tributo_id=4 →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en combustibles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 (percepción)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$ 2.404.267,50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tributo_id=5 → tributos_detalle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Tasa Munic. Comb.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$ 0,00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tributo_id=7 →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Ingreso manual operador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FACTURA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$ 85.262.207,22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4.2 Reglas de cálculo automático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IVA: agrupar líneas por iva_tipo_id|alicuota_iva → N registros en iva_detalle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ICL: sumar importe_icl → 1 registro tributos_detalle (tributo_id=8)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IDC: sumar importe_idc → 1 registro tributos_detalle (tributo_id=9)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Imp. Internos: sumar importe_imp_interno → 1 registro (tributo_id=4)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IIBB/Tasa Munic.: ingreso manual operador → tributo_id=5/7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Solo se persisten registros con importe &gt; 0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5. Grilla de Ítems — NuevoComprobante.jsx</w:t>
      </w:r>
    </w:p>
    <w:p>
      <w:pPr>
        <w:jc w:val="left"/>
      </w:pPr>
      <w:r>
        <w:rPr>
          <w:sz w:val="20"/>
          <w:szCs w:val="20"/>
        </w:rPr>
        <w:t xml:space="preserve">Columnas en orden. ICL, IDC e Imp.Interno aparecen solo si al menos un ítem tiene valor &gt; 0 (columnas sticky — una vez visibles no se ocultan hasta que la grilla quede vacía).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/ input texto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Descripción + cod_barras. Input editable para conceptos manuales (obligatorio)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Recalcula al cambiar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actual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Precio en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factura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Recalcula al cambiar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IVA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 editable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Cargado desde /api/iva-tipos. Recalcula IVA al cambiar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 × costo × alícuota/100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unit.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si algún ítem &gt; 0. Recalcula importe_icl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 unit.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editable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si algún ítem &gt; 0. Recalcula importe_idc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(ICL+IDC)×cant si combustible. Solo si &gt; 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Act. costo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Activa call a WinDev actualizar-costo para ese artículo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calculado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 × costo (neto)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botón eliminar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6. Decisiones de Diseño Consolidadas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ITC → ICL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Ley 27.430. Trafigura factura como "ITC" — se mapea a tributo_id=8 (ICL)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IDC separado del ICL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tributo_id=9. Registros independientes en tributos_detalle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Imp. Internos (id=4)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Cigarrillos/gaseosas: imp_interno_monto &gt; 0. Combustibles: siempre 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 + IDC unitarios en grilla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Editables por línea. importe_icl = icl_unit × cant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Columnas sticky ICL/IDC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 vez visibles no desaparecen mientras se edita. Se resetean al vaciar la grilla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react-number-format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NumericFormat reemplaza todos los inputs numéricos. Separador decimal: coma. Miles: punto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onValueChange sin onBlur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floatValue limpio en cada cambio. Recalculo inmediato sin bug de punto/coma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Keys estables con _uid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nextUid() genera IDs únicos por fila. Evita contaminación cruzada entre artículos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ICL/IDC pie en detallado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Valores derivados (no estado). Calculados en render desde items. No hay useEffect de sincronización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periodo_fiscal VARCHAR(7)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Formato MM/YYYY. Autocompleta desde fecha de emisión si ≤ 2 meses atrás. Campo obligatorio para comprobantes fiscales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Pto. venta y Número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type=text con padStart en onBlur: 5 dígitos (pto.venta) y 8 dígitos (número)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Factura B — advertencia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 bloquea pero muestra advertencia en rojo: sin discriminación de impuestos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duplicados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/comprobantes/verificar-duplicado antes del POST. Error inline en campo Número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Concepto manual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hfsql_articulos_id=-99. Descripción obligatoria. Sin ICL/IDC/ImpInt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Toggle Detallado/Simplificado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antes de cambiar si hay ítems en la grilla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Modo simplificado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Pie editable manual. iva_detalle_manual enviado al backend. pie_otros con ICL/IDC/ImpInterno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IvaTiposID en WinDev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envía en actualizar-costo para actualizar articulos.IvaTiposID en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WINDEV_API_URL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http://localhost (puerto 80, sin puerto explícito en la URL)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7. Endpoints Node — Estado Actual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7.1 GET /api/comprobantes/tipos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Devuelve lista de tipos desde compras_comprobantes_tipo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7.2 GET /api/comprobantes/verificar-duplicado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 (v1.1.0). Query params: proveedor_id, punto_venta, numero_comprobante, comprobante_tipo_id</w:t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Retorna { ok, duplicado, comprobante_id }. Se llama desde validar() antes del POST de registro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7.3 POST /api/comprobantes/registrar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Cabecera 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periodo_fiscal VARCHAR(7)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Detalle — campos ICL/IDC/ImpInt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alicuota_iva, importe_iva, importe_icl, importe_idc, importe_imp_interno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iva_detalle — agrupado por iva_tipo_id|alícuota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 registros. Usa iva_detalle_manual si viene (simplificado)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tributos_detalle — ICL/IDC/ImpInt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Desde items (detallado) o pie_otros (simplificado)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tributos_detalle — percepciones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IIBB (id=5), Municipales (id=7)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cuenta corriente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comprobantes fiscales. factor +1/-1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actualizar-costo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Array items con icl_unit, idc_unit, ivaTiposID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actualizar-stock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depositoId directo. Solo artículos reales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periodo_fiscal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(v1.1.0)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Persistido en compras_comprobantes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7.4 GET /api/iva-tipos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Proxy a WinDev /apicompras/iva-tipos. Devuelve ivaTiposID, alicuota, descripcion, afipIvaID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7.5 GET /api/sucursales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Fix aplicado: WinDev devuelve array directo (no { data: [] })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7.6 GET /api/sucursales/depositos/:id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Implementado. Devuelve { id, nombre } por sucursal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8. WinDev Endpoints — Estado Actual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/apicompras/iva-tipos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ivaTiposID, alicuota, descripcion, afipIvaID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/apicompras/sucursales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sucursalesID, sucursalNro, nombreSucursal, direccion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/apicompras/sucursales/depositos/:id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nombre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/apicompras/articulos/por-descripcion/:prov?texto=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IvaTiposID, aFIPIvaID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/apicompras/articulos/por-codigo-barras/:prov/:cod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IvaTiposID, aFIPIvaID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/apicompras/articulos/por-proveedor/:prov/:cod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IvaTiposID, aFIPIvaID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/apicompras/articulos/actualizar-costo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Acepta array. Incluye ivaTiposID → actualiza articulos.IvaTiposID en HFSQL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/apicompras/stock/actualizar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depositoId directo. factor +1/-1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9. Base de Datos PostgreSQL — Tablas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Incluye periodo_fiscal VARCHAR(7) — migración 025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compras_comprobantes_iva_detalle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iva_tipo_id + alicuota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compras_comprobantes_tributos_detalle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ICL(8), IDC(9), ImpInt(4), IIBB(5), Munic(7)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compras_cc_movimientos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Movimiento automático al registrar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compras_adjuntos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Migración 024 — para OCR Etapa 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9.1 Historial de Migraciones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Migración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Tabla/Objeto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001–015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Setup inicial, tablas base, recreaciones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016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compras_comprobantes_tipo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 tablas viejas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017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Recrear cabecera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018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 detalle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019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compras_comprobantes_iva_detalle + tributos_detalle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 subtablas impuestos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compras_remitos_asociados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compras_cc_movimientos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Recrear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023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compras_comprobantes_detalle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Agregar campos ICL/IDC/ImpInt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023b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compras_comprobantes_iva_detalle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COLUMN alicuota NUMERIC(5,2)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024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compras_adjuntos + compras_comprobantes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 — ver sección OCR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025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compras_comprobantes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COLUMN periodo_fiscal VARCHAR(7) — APLICADA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10. Validaciones del Formulario NuevoComprobante.jsx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comprobante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Proveedor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emisión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Obligatoria, no puede ser futura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 de vencimiento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 en Facturas, no puede ser menor a fecha de emisión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Período fiscal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para comprobantes fiscales. Select con 3 opciones (mes actual + 2 anteriores)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Punto de venta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para fiscales. padStart(5, "0") en onBlur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para fiscales. padStart(8, "0") en onBlur. Validación duplicados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Ítems (detallado)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menos 1 ítem. Subtotal &gt; 0. Descripción obligatoria en conceptos manuales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IVA (simplificado)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menos una fila con base &gt; 0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factura (simplificado)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Obligatorio, debe ser &gt; 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Sucursal/Depósito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Obligatorio si "Actualizar stock" está marcado y hay artículos reales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Factura 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Advertencia visual. No bloquea el submit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Duplicado proveedor+pto+nro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al backend antes de confirmar. Error inline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v1.1.0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11. Período Fiscal — Lógica de Autocomplete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Al ingresar la fecha de emisión, se calcula el período fiscal automáticamente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Si la fecha está dentro de los 2 meses anteriores al mes actual → autocompleta con MM/YYYY de esa fecha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Si la fecha tiene más de 2 meses de antigüedad → queda vacío; el operador elige manualmente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El select muestra 3 opciones: mes actual + 2 meses anteriores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El sistema no valida el rango máximo hacia atrás — la responsabilidad de imputar en un período cerrado es del contador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Pendiente: pantalla para modificar periodo_fiscal de un comprobante ya registrado (sin tocar el resto)</w:t>
      </w:r>
    </w:p>
    <w:p>
      <w:r>
        <w:t xml:space="preserve"/>
      </w:r>
    </w:p>
    <w:p>
      <w:pPr>
        <w:shd w:fill="EBF3FB" w:val="clear"/>
        <w:spacing w:after="80" w:before="80"/>
        <w:ind w:left="360"/>
      </w:pPr>
      <w:r>
        <w:rPr>
          <w:i/>
          <w:iCs/>
          <w:color w:val="2E74B5"/>
          <w:sz w:val="18"/>
          <w:szCs w:val="18"/>
        </w:rPr>
        <w:t xml:space="preserve">💡 ARCA no exige ordenamiento específico en los archivos del Libro IVA. Solo pide consistencia entre COMPRAS_CBTE y COMPRAS_ALICUOTAS. El Libro IVA se filtra por periodo_fiscal y se ordena por fecha ASC.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12. Modos de Carga — NuevoComprobante.jsx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Detallado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Simplificado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Cuándo usar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carga artículos línea por línea desde HFSQL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Proveedor sin artículos en HFSQL o carga rápida de totales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Grilla de ítems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Visible — buscador + tabla con impuestos por línea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Oculta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Pie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Calculado automáticamente desde líneas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Inputs manuales: base IVA, alícuota, ICL, IDC, ImpInt, percepciones, total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actualizar-costo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Sí, por cada artículo con checkbox activo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actualizar-stock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Sí, si se marca la opción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Toggle entre modos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si hay ítems en grilla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Confirmación si hay ítems en grilla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13. OCR — Diseño e Implementación por Etapas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13.1 Estrategia General</w:t>
      </w:r>
    </w:p>
    <w:p>
      <w:pPr>
        <w:jc w:val="left"/>
      </w:pPr>
      <w:r>
        <w:rPr>
          <w:sz w:val="20"/>
          <w:szCs w:val="20"/>
        </w:rPr>
        <w:t xml:space="preserve">El formulario NuevoComprobante.jsx soporta dos modos de carga: detallado y simplificado. El OCR autocompleta el formulario en cualquiera de los dos modos permitiendo al operador corregir errores antes de confirmar.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13.2 Etapa 1 — OCR de Cabecera (MVP) — PENDIENTE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abre "Nuevo Comprobante" y presiona "Importar factura"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Selecciona PDF o JPG/PNG desde el filesystem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sube el archivo al backend via multipart/form-data → POST /comprobantes/ocr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llama a Claude API (claude-sonnet-4-6) con el PDF/imagen y prompt estructurado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devuelve JSON con cabecera y totales del pie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busca el CUIT del proveedor en compras_proveedores → match automático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 no encuentra el CUIT → operador selecciona manualmente o crea el proveedor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autocompleta el formulario con los datos del JSON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Operador corrige lo necesario y confirma normalmente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 confirmar: archivo guardado en storage/, registro creado en compras_adjuntos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13.3 Etapas 2 y 3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Etapa 2 — Modal de mapeo de artículos + tabla compras_ocr_mapeo (texto_ocr → hfsql_articulos_id por proveedor)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Etapa 3 — Carga completamente automática para comprobantes recurrentes con artículos ya mapeados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14. Pruebas Realizadas y Verificadas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14.1 Circuito completo modo detallado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Registro con artículos reales (NAFTA SUPER PUMA + GASEOSA COCA COLA)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compras_comprobantes_detalle — ICL/IDC/ImpInt correctos por línea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compras_comprobantes_iva_detalle — iva_tipo_id=3 (21%), base e IVA correctos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compras_comprobantes_tributos_detalle — ICL(8), IDC(9), ImpInt(4)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compras_cc_movimientos — débito correcto, saldo acumulado actualizado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WinDev articulos.precioCosto — actualizado con FechaActualizacion correcta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WinDev articulos.IvaTiposID — actualizado si cambió en la factura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WinDev articulos.impTransfComb / impDioxidoCarbono — actualizados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Stock NAFTA SUPER PUMA — ingreso 5.201,54 unidades al depósito 00001 ✓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Stock GASEOSA COCA COLA — ingreso 12 unidades al depósito 00001 ✓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14.2 Modo simplificado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Registro con base imponible, IVA 10.5%, ICL, IDC, IIBB, Municipales, total manual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iva_detalle y tributos_detalle grabados correctamente para modo simplificado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14.3 Concepto manual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Registro con descripción libre, cantidad, costo, tipo IVA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IVA calculado correctamente. ICL/IDC = 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14.4 Validaciones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Fecha emisión futura — rechazada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Fecha vencimiento menor a emisión — rechazada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Período fiscal vacío — rechazado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Duplicado proveedor+pto+número — detectado con error inline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Concepto manual sin descripción — rechazado</w:t>
      </w:r>
    </w:p>
    <w:p>
      <w:pPr>
        <w:spacing w:after="40" w:before="40"/>
        <w:ind w:left="360"/>
      </w:pPr>
      <w:r>
        <w:rPr>
          <w:color w:val="1A5E20"/>
          <w:sz w:val="18"/>
          <w:szCs w:val="18"/>
        </w:rPr>
        <w:t xml:space="preserve">✅ Advertencia Factura B — muestra mensaje, no bloquea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15. Rediseño Visual — En Definición</w:t>
      </w:r>
    </w:p>
    <w:p>
      <w:pPr>
        <w:jc w:val="left"/>
      </w:pPr>
      <w:r>
        <w:rPr>
          <w:sz w:val="20"/>
          <w:szCs w:val="20"/>
        </w:rPr>
        <w:t xml:space="preserve">Se están evaluando distintos enfoques de UI antes de aplicar cambios al código de NuevoComprobante.jsx.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15.1 Lineamientos definidos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Layout vertical en secciones (no columnas que sacrifiquen espacio de la grilla)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Cards blancas con sombra sutil (bg-white, shadow-sm, border-slate-200)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Cabecera en dos filas: Fila 1 — Proveedor/Tipo/Letra | Fila 2 — Fechas/Período/Pto.Venta/Número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Grilla de ítems ancho completo con fuente 11px y hover azul suave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Descripción artículo con truncado (max 50 chars) y tooltip en hover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Botón Confirmar: azul sólido (bg-blue-600). Cancelar: ghost/outline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Un solo botón Confirmar — abajo en la zona de totales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Ruta /prueba001 disponible para visualizar componentes de prueba sin afectar el formulario real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15.2 Stack de estilos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Tailwind CSS — clases utilitarias base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Shadcn/ui — disponible en el entorno para componentes premium (inputs, selects, badges, cards)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react-number-format — ya integrado para todos los inputs numéricos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16. Pendientes — Próxima Sesión</w:t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16.1 Funcionales inmediatos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Modificar periodo_fiscal de un comprobante ya registrado (pantalla o acción en lista de comprobantes)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Lista/grilla de comprobantes registrados con filtros básicos (período, proveedor, estado)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16.2 Rediseño visual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Definir diseño final del formulario NuevoComprobante.jsx basado en mockups evaluados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Implementar ruta /prueba001 para pruebas de componentes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Aplicar rediseño al formulario real una vez aprobado el mockup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16.3 Fiscales / ARCA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Libro IVA Compras RG 4597 — generación archivos COMPRAS_CBTE y COMPRAS_ALICUOTAS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Revisar tratamiento de Factura C (monotributistas) en ARCA — campos de impuestos en cero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16.4 OCR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Migración 024 — tabla compras_adjuntos + campo archivo_origen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Endpoint POST /comprobantes/ocr — recibe PDF/JPG, llama Claude API, devuelve JSON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Botón "Importar factura" en NuevoComprobante.jsx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Match automático por CUIT en tabla proveedores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OCR Etapa 2 — modal de mapeo + tabla compras_ocr_mapeo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16.5 Módulos futuros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Módulo de pagos a proveedores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Integración WinDev: actualización de precios de venta desde costos de compra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WhatsApp integration (número en warmup)</w:t>
      </w:r>
    </w:p>
    <w:p>
      <w:pPr>
        <w:spacing w:after="40" w:before="40"/>
        <w:ind w:left="360"/>
      </w:pPr>
      <w:r>
        <w:rPr>
          <w:color w:val="7B3F00"/>
          <w:sz w:val="18"/>
          <w:szCs w:val="18"/>
        </w:rPr>
        <w:t xml:space="preserve">⏳ GET /articulos/por-cod-auxiliar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17. Stack Técnico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auto" w:w="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 / Notas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Vite + Tailwind CSS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react-number-format integrado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+ Express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Modules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adapter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17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compras_dev (desarrollo)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ERP Legacy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WinDev 25 / HFSQL C/S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REST interna en localhost</w:t>
            </w:r>
          </w:p>
        </w:tc>
      </w:tr>
      <w:tr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de versiones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 + GitHub</w:t>
            </w:r>
          </w:p>
        </w:tc>
        <w:tc>
          <w:tcPr>
            <w:tcW w:type="auto" w:w="0"/>
            <w:shd w:fill="F2F2F2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Repo: DarioPoevich/gestion-compras (privado)</w:t>
            </w:r>
          </w:p>
        </w:tc>
      </w:tr>
      <w:tr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OCR (planificado)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API claude-sonnet-4-6</w:t>
            </w:r>
          </w:p>
        </w:tc>
        <w:tc>
          <w:tcPr>
            <w:tcW w:type="auto" w:w="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Desde Node.js backend</w:t>
            </w:r>
          </w:p>
        </w:tc>
      </w:tr>
    </w:tbl>
    <w:p>
      <w:r>
        <w:t xml:space="preserve"/>
      </w:r>
    </w:p>
    <w:p>
      <w:r>
        <w:br w:type="page"/>
      </w:r>
    </w:p>
    <w:p>
      <w:r>
        <w:rPr>
          <w:b/>
        </w:rPr>
        <w:t>Actualización de Estado – SES Design System (Julio 2026)</w:t>
      </w:r>
    </w:p>
    <w:p>
      <w:r>
        <w:t>El rediseño visual deja de ser una prueba de interfaz y pasa a constituir una decisión arquitectónica. Se adopta oficialmente el Design System SES para el frontend React. La lógica de negocio permanece intacta y la migración será progresiva.</w:t>
      </w:r>
    </w:p>
    <w:p>
      <w:r>
        <w:rPr>
          <w:b/>
        </w:rPr>
        <w:t>Arquitectura adoptada</w:t>
      </w:r>
    </w:p>
    <w:p>
      <w:r>
        <w:t>SESLayout</w:t>
        <w:br/>
        <w:t>↓</w:t>
        <w:br/>
        <w:t>SESTopBar</w:t>
        <w:br/>
        <w:t>↓</w:t>
        <w:br/>
        <w:t>SESWorkspace</w:t>
        <w:br/>
        <w:t>↓</w:t>
        <w:br/>
        <w:t>SESSection</w:t>
        <w:br/>
        <w:t>↓</w:t>
        <w:br/>
        <w:t>SESFormRow</w:t>
        <w:br/>
        <w:t>↓</w:t>
        <w:br/>
        <w:t>SESField</w:t>
        <w:br/>
        <w:t>↓</w:t>
        <w:br/>
        <w:t>SESControl</w:t>
        <w:br/>
        <w:t>↓</w:t>
        <w:br/>
        <w:t>SESInput / SESSelect / futuros componentes</w:t>
      </w:r>
    </w:p>
    <w:p>
      <w:r>
        <w:rPr>
          <w:b/>
        </w:rPr>
        <w:t>Componentes implementados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Componente</w:t>
            </w:r>
          </w:p>
        </w:tc>
        <w:tc>
          <w:tcPr>
            <w:tcW w:type="dxa" w:w="4513"/>
          </w:tcPr>
          <w:p>
            <w:r>
              <w:t>Estado</w:t>
            </w:r>
          </w:p>
        </w:tc>
      </w:tr>
      <w:tr>
        <w:tc>
          <w:tcPr>
            <w:tcW w:type="dxa" w:w="4513"/>
          </w:tcPr>
          <w:p>
            <w:r>
              <w:t>SESWorkspace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SESSection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SESFormRow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SESField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SESControl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SESInput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SESSelect</w:t>
            </w:r>
          </w:p>
        </w:tc>
        <w:tc>
          <w:tcPr>
            <w:tcW w:type="dxa" w:w="4513"/>
          </w:tcPr>
          <w:p>
            <w:r>
              <w:t>Implementado</w:t>
            </w:r>
          </w:p>
        </w:tc>
      </w:tr>
      <w:tr>
        <w:tc>
          <w:tcPr>
            <w:tcW w:type="dxa" w:w="4513"/>
          </w:tcPr>
          <w:p>
            <w:r>
              <w:t>SESButton</w:t>
            </w:r>
          </w:p>
        </w:tc>
        <w:tc>
          <w:tcPr>
            <w:tcW w:type="dxa" w:w="4513"/>
          </w:tcPr>
          <w:p>
            <w:r>
              <w:t>Pendiente</w:t>
            </w:r>
          </w:p>
        </w:tc>
      </w:tr>
      <w:tr>
        <w:tc>
          <w:tcPr>
            <w:tcW w:type="dxa" w:w="4513"/>
          </w:tcPr>
          <w:p>
            <w:r>
              <w:t>SESTable</w:t>
            </w:r>
          </w:p>
        </w:tc>
        <w:tc>
          <w:tcPr>
            <w:tcW w:type="dxa" w:w="4513"/>
          </w:tcPr>
          <w:p>
            <w:r>
              <w:t>Pendiente</w:t>
            </w:r>
          </w:p>
        </w:tc>
      </w:tr>
      <w:tr>
        <w:tc>
          <w:tcPr>
            <w:tcW w:type="dxa" w:w="4513"/>
          </w:tcPr>
          <w:p>
            <w:r>
              <w:t>SESDatePicker</w:t>
            </w:r>
          </w:p>
        </w:tc>
        <w:tc>
          <w:tcPr>
            <w:tcW w:type="dxa" w:w="4513"/>
          </w:tcPr>
          <w:p>
            <w:r>
              <w:t>Pendiente</w:t>
            </w:r>
          </w:p>
        </w:tc>
      </w:tr>
    </w:tbl>
    <w:p>
      <w:r>
        <w:rPr>
          <w:b/>
        </w:rPr>
        <w:t>Principios adoptados</w:t>
      </w:r>
    </w:p>
    <w:p>
      <w:r>
        <w:t>• Los formularios utilizarán componentes SES en lugar de controles HTML directos.</w:t>
      </w:r>
    </w:p>
    <w:p>
      <w:r>
        <w:t>• La lógica de negocio permanece separada del diseño visual.</w:t>
      </w:r>
    </w:p>
    <w:p>
      <w:r>
        <w:t>• El Design System será común para todos los módulos del ERP.</w:t>
      </w:r>
    </w:p>
    <w:p>
      <w:r>
        <w:t>• La documentación permanente del framework se mantendrá en frontend/docs.</w:t>
      </w:r>
    </w:p>
    <w:p>
      <w:r>
        <w:rPr>
          <w:b/>
        </w:rPr>
        <w:t>Próxima etapa</w:t>
      </w:r>
    </w:p>
    <w:p>
      <w:r>
        <w:t>Implementar SESButton, SESTable y SESDatePicker, iniciando luego la migración progresiva del formulario NuevoComprobante.jsx.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2026-07-07T03:08:30.811Z</dcterms:created>
  <dcterms:modified xsi:type="dcterms:W3CDTF">2026-07-07T03:08:30.811Z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