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7"/>
        <w:gridCol w:w="2188"/>
        <w:gridCol w:w="671"/>
        <w:gridCol w:w="1987"/>
        <w:gridCol w:w="3092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shd w:val="clear" w:color="auto" w:fill="auto"/>
            <w:vAlign w:val="center"/>
          </w:tcPr>
          <w:p w:rsidR="00DD16C7" w:rsidRPr="006D5B38" w:rsidRDefault="00DD16C7" w:rsidP="002103AE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</w:t>
            </w:r>
            <w:r w:rsidR="002103AE">
              <w:rPr>
                <w:rFonts w:ascii="Calibri" w:hAnsi="Calibri" w:cs="Calibri"/>
              </w:rPr>
              <w:t>Insumo/Herramientas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4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 xml:space="preserve">Generar Aviso de </w:t>
            </w:r>
            <w:r w:rsidR="009C0F89">
              <w:rPr>
                <w:rFonts w:ascii="Calibri" w:hAnsi="Calibri" w:cs="Calibri"/>
                <w:b w:val="0"/>
                <w:color w:val="auto"/>
                <w:sz w:val="20"/>
              </w:rPr>
              <w:t>Vencimiento de Insumos</w:t>
            </w:r>
          </w:p>
        </w:tc>
        <w:tc>
          <w:tcPr>
            <w:tcW w:w="3032" w:type="dxa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2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47752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47752E" w:rsidRPr="006D5B38">
              <w:rPr>
                <w:rFonts w:ascii="Calibri" w:hAnsi="Calibri" w:cs="Calibri"/>
              </w:rPr>
            </w:r>
            <w:r w:rsidR="0047752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2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2103AE">
              <w:rPr>
                <w:rFonts w:ascii="Calibri" w:hAnsi="Calibri" w:cs="Calibri"/>
              </w:rPr>
              <w:t xml:space="preserve">: </w:t>
            </w:r>
            <w:r w:rsidR="009C0F89" w:rsidRPr="002103AE">
              <w:rPr>
                <w:rFonts w:ascii="Calibri" w:hAnsi="Calibri" w:cs="Calibri"/>
              </w:rPr>
              <w:t>Jefe Técnico de Redes (JTR)</w:t>
            </w:r>
          </w:p>
        </w:tc>
        <w:tc>
          <w:tcPr>
            <w:tcW w:w="5690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47752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47752E">
              <w:rPr>
                <w:rFonts w:ascii="Calibri" w:hAnsi="Calibri" w:cs="Calibri"/>
              </w:rPr>
            </w:r>
            <w:r w:rsidR="0047752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47752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47752E">
              <w:rPr>
                <w:rFonts w:ascii="Calibri" w:hAnsi="Calibri" w:cs="Calibri"/>
              </w:rPr>
            </w:r>
            <w:r w:rsidR="0047752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>
              <w:rPr>
                <w:rFonts w:ascii="Calibri" w:hAnsi="Calibri" w:cs="Calibri"/>
              </w:rPr>
              <w:t>Notificar sobre insumos cuya fecha de vencimiento esté próxima</w:t>
            </w:r>
            <w:r w:rsidR="009741D5">
              <w:rPr>
                <w:rFonts w:ascii="Calibri" w:hAnsi="Calibri" w:cs="Calibri"/>
              </w:rPr>
              <w:t xml:space="preserve"> 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7D5AC8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DD16C7" w:rsidRPr="006D5B38" w:rsidRDefault="00DD16C7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456634">
              <w:rPr>
                <w:rFonts w:ascii="Calibri" w:hAnsi="Calibri" w:cs="Calibri"/>
                <w:bCs/>
              </w:rPr>
              <w:t>informó sobre insumos próximos a vencerse y se generó el pedido correspondiente.</w:t>
            </w:r>
          </w:p>
        </w:tc>
      </w:tr>
      <w:tr w:rsidR="00DD16C7" w:rsidRPr="006D5B38" w:rsidTr="007D5AC8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9C0F89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verifica si existe algún insumo cuya fecha de vencimiento sea menor o igual a dos meses respecto de la fecha actual</w:t>
            </w:r>
            <w:r w:rsidR="00456634">
              <w:rPr>
                <w:rFonts w:ascii="Calibri" w:hAnsi="Calibri" w:cs="Calibri"/>
              </w:rPr>
              <w:t xml:space="preserve"> y no se encuentre en un Pedido realizado.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9C0F89">
              <w:rPr>
                <w:rFonts w:ascii="Calibri" w:hAnsi="Calibri" w:cs="Calibri"/>
              </w:rPr>
              <w:t>encuentra insumos próximos a vencerse y los muestra, informando:</w:t>
            </w:r>
          </w:p>
          <w:p w:rsidR="009C0F89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Insumo.</w:t>
            </w:r>
          </w:p>
          <w:p w:rsidR="009C0F89" w:rsidRPr="00CE34F0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Vencimiento.</w:t>
            </w:r>
          </w:p>
        </w:tc>
        <w:tc>
          <w:tcPr>
            <w:tcW w:w="5019" w:type="dxa"/>
            <w:gridSpan w:val="2"/>
          </w:tcPr>
          <w:p w:rsidR="00DD16C7" w:rsidRPr="006D5B38" w:rsidRDefault="009C0F89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insumos próximos a vencerse.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9C0F89">
              <w:rPr>
                <w:rFonts w:ascii="Calibri" w:hAnsi="Calibri" w:cs="Calibri"/>
              </w:rPr>
              <w:t xml:space="preserve">realizar el Pedido del o los insumos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6F3221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permite ingresar la cantidad a pedir de cada insumo y habilita la posibilidad de cancelar el pedido de alguno de ellos a través del botón “Eliminar”.</w:t>
            </w:r>
          </w:p>
        </w:tc>
        <w:tc>
          <w:tcPr>
            <w:tcW w:w="5019" w:type="dxa"/>
            <w:gridSpan w:val="2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ingresa la cantidad para cada uno de los insumos.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2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>confirmar el Pedido de Insumos por Vencimiento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2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2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D23097">
              <w:rPr>
                <w:rFonts w:asciiTheme="minorHAnsi" w:hAnsiTheme="minorHAnsi" w:cstheme="minorHAnsi"/>
              </w:rPr>
              <w:t xml:space="preserve">.A.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>.A.1. El Sistema muestra el siguiente mensaje: “Se cancelará el Pedido de Insumos.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>.A.2.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 xml:space="preserve">.A.3. El JTR decide continuar con la cancelación del pedido </w:t>
            </w:r>
            <w:r w:rsidR="00E27C11">
              <w:rPr>
                <w:rFonts w:ascii="Calibri" w:hAnsi="Calibri" w:cs="Calibri"/>
              </w:rPr>
              <w:t xml:space="preserve">oprimiendo </w:t>
            </w:r>
            <w:r w:rsidR="00475419">
              <w:rPr>
                <w:rFonts w:ascii="Calibri" w:hAnsi="Calibri" w:cs="Calibri"/>
              </w:rPr>
              <w:t>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475419">
              <w:rPr>
                <w:rFonts w:ascii="Calibri" w:hAnsi="Calibri" w:cs="Calibri"/>
              </w:rPr>
              <w:t>.A.3.A.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.A.4.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genera el Pedido de insumos </w:t>
            </w:r>
            <w:r>
              <w:rPr>
                <w:rFonts w:ascii="Calibri" w:hAnsi="Calibri" w:cs="Calibri"/>
              </w:rPr>
              <w:lastRenderedPageBreak/>
              <w:t>correspondiente.</w:t>
            </w:r>
          </w:p>
        </w:tc>
        <w:tc>
          <w:tcPr>
            <w:tcW w:w="5019" w:type="dxa"/>
            <w:gridSpan w:val="2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lastRenderedPageBreak/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>muestra el siguiente mensaje “Se generó con éxito el Pedido de Insumos”.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E23294" w:rsidRDefault="00E23294"/>
    <w:p w:rsidR="005359F9" w:rsidRDefault="005359F9">
      <w:r>
        <w:t>Diagrama de Comunicación o Colaboracion</w:t>
      </w:r>
    </w:p>
    <w:p w:rsidR="005359F9" w:rsidRDefault="00DF5F5F">
      <w:r>
        <w:rPr>
          <w:noProof/>
        </w:rPr>
        <w:drawing>
          <wp:inline distT="0" distB="0" distL="0" distR="0">
            <wp:extent cx="5400040" cy="367234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9F9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2103AE"/>
    <w:rsid w:val="002E5466"/>
    <w:rsid w:val="003000EC"/>
    <w:rsid w:val="00371A1F"/>
    <w:rsid w:val="00456634"/>
    <w:rsid w:val="00475419"/>
    <w:rsid w:val="0047752E"/>
    <w:rsid w:val="004B17A6"/>
    <w:rsid w:val="005359F9"/>
    <w:rsid w:val="006F3221"/>
    <w:rsid w:val="00725A91"/>
    <w:rsid w:val="00885D10"/>
    <w:rsid w:val="009741D5"/>
    <w:rsid w:val="009C0F89"/>
    <w:rsid w:val="009C2DBE"/>
    <w:rsid w:val="009E191D"/>
    <w:rsid w:val="00A72881"/>
    <w:rsid w:val="00AF5A25"/>
    <w:rsid w:val="00BD66C3"/>
    <w:rsid w:val="00CE34F0"/>
    <w:rsid w:val="00CF3C7E"/>
    <w:rsid w:val="00D23097"/>
    <w:rsid w:val="00DD157F"/>
    <w:rsid w:val="00DD16C7"/>
    <w:rsid w:val="00DF5F5F"/>
    <w:rsid w:val="00E10CC9"/>
    <w:rsid w:val="00E23294"/>
    <w:rsid w:val="00E27C11"/>
    <w:rsid w:val="00EB050E"/>
    <w:rsid w:val="00EF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59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F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17</cp:revision>
  <dcterms:created xsi:type="dcterms:W3CDTF">2011-09-17T13:36:00Z</dcterms:created>
  <dcterms:modified xsi:type="dcterms:W3CDTF">2015-06-23T01:16:00Z</dcterms:modified>
</cp:coreProperties>
</file>