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0" w:lineRule="auto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color w:val="262626"/>
          <w:sz w:val="40"/>
          <w:szCs w:val="40"/>
        </w:rPr>
      </w:pPr>
      <w:r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color w:val="262626"/>
          <w:sz w:val="40"/>
          <w:szCs w:val="40"/>
          <w:rtl w:val="0"/>
        </w:rPr>
        <w:t xml:space="preserve">LENGUAJES DE ÚLTIMA GENERACIÓN</w:t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0" w:before="0" w:lineRule="auto"/>
        <w:rPr/>
      </w:pPr>
      <w:r>
        <w:rPr>
          <w:rFonts w:ascii="Noto Serif" w:cs="Noto Serif" w:eastAsia="Noto Serif" w:hAnsi="Noto Serif"/>
          <w:b w:val="0"/>
          <w:bCs w:val="0"/>
          <w:i w:val="0"/>
          <w:iCs w:val="0"/>
          <w:smallCaps w:val="0"/>
          <w:color w:val="262626"/>
          <w:sz w:val="56"/>
          <w:szCs w:val="56"/>
          <w:rtl w:val="0"/>
        </w:rPr>
        <w:t xml:space="preserve">TP Integrador N</w:t>
      </w:r>
      <w:r>
        <w:rPr>
          <w:rFonts w:ascii="Noto Serif" w:cs="Noto Serif" w:eastAsia="Noto Serif" w:hAnsi="Noto Serif"/>
          <w:color w:val="262626"/>
          <w:sz w:val="56"/>
          <w:szCs w:val="56"/>
          <w:rtl w:val="0"/>
        </w:rPr>
        <w:t xml:space="preserve">2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99" w:before="299" w:lineRule="auto"/>
        <w:rPr/>
      </w:pPr>
      <w:r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Enunciado: Sistema de Gestión de Capacitaciones Académicas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281" w:before="281" w:lineRule="auto"/>
        <w:rPr/>
      </w:pPr>
      <w:r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1. Contexto del Problema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ptos" w:cs="Aptos" w:eastAsia="Aptos" w:hAnsi="Aptos"/>
          <w:sz w:val="24"/>
          <w:szCs w:val="24"/>
          <w:rtl w:val="0"/>
        </w:rPr>
        <w:t xml:space="preserve">Una institución educativa requiere una aplicación de escritorio para gestionar su oferta de cursos y el seguimiento de inscripciones. El sistema debe garantizar la seguridad de los datos, integridad referencial en las transacciones y una arquitectura escalable basada en capas.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281" w:before="281" w:lineRule="auto"/>
        <w:rPr/>
      </w:pPr>
      <w:r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2. Requerimientos Funcionales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spacing w:after="319" w:before="319" w:lineRule="auto"/>
        <w:rPr/>
      </w:pPr>
      <w:r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Módulo A: Seguridad y Acceso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control de acceso mediante un </w:t>
      </w: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credenciales de los usuarios deben almacenarse en la base de datos.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Restricción de Seguridad: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contraseñas no pueden estar en texto plano; deben ser cifradas mediante un algoritmo de </w:t>
      </w: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hashing de una sola vía (SHA256)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solo permitirá el acceso al formulario principal si la autenticación es exitosa.</w:t>
      </w:r>
    </w:p>
    <w:p w:rsidR="00000000" w:rsidDel="00000000" w:rsidP="00000000" w:rsidRDefault="00000000" w:rsidRPr="00000000" w14:paraId="0000000E">
      <w:pPr>
        <w:pStyle w:val="Heading4"/>
        <w:spacing w:after="319" w:before="319" w:lineRule="auto"/>
        <w:rPr/>
      </w:pPr>
      <w:r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Módulo B: Gestión de Cursos (ABM Polimórfico)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el ciclo de vida (Alta, Baja, Modificación y Consulta) de los cursos.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Lógica de Negocio: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Existen dos tipos de cursos: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Gratuitos: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 costo asociado.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Pagos: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Requieren registrar un valor de cuota adicional.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interfaz debe ser capaz de reaccionar dinámicamente según el tipo de curso seleccionado, habilitando o deshabilitando campos específicos.</w:t>
      </w:r>
    </w:p>
    <w:p w:rsidR="00000000" w:rsidDel="00000000" w:rsidP="00000000" w:rsidRDefault="00000000" w:rsidRPr="00000000" w14:paraId="00000014">
      <w:pPr>
        <w:pStyle w:val="Heading4"/>
        <w:spacing w:after="319" w:before="319" w:lineRule="auto"/>
        <w:rPr/>
      </w:pPr>
      <w:r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Módulo C: Gestión de Inscripciones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inscripción de alumnos en los cursos disponibles.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implementar una </w:t>
      </w: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intermedia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relacione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Alumno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mediante una </w:t>
      </w: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llave primaria compuesta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visualización en grillas debe ser amigable para el usuario: mostrar nombres y descripciones en lugar de solo IDs numéricos.</w:t>
      </w:r>
    </w:p>
    <w:p w:rsidR="00000000" w:rsidDel="00000000" w:rsidP="00000000" w:rsidRDefault="00000000" w:rsidRPr="00000000" w14:paraId="00000018">
      <w:pPr>
        <w:pStyle w:val="Heading4"/>
        <w:spacing w:after="319" w:before="319" w:lineRule="auto"/>
        <w:rPr/>
      </w:pPr>
      <w:r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Módulo D: Inteligencia de Negocio (Informes)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proveer una sección de reportes estadísticos.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incluirse un informe que determine automáticamente cuál es el </w:t>
      </w: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con mayor número de inscripciones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realizando cálculos de agregación directamente en el motor de base de datos.</w:t>
      </w:r>
    </w:p>
    <w:p w:rsidR="00000000" w:rsidDel="00000000" w:rsidP="00000000" w:rsidRDefault="00000000" w:rsidRPr="00000000" w14:paraId="0000001B">
      <w:pPr>
        <w:pStyle w:val="Heading3"/>
        <w:spacing w:after="281" w:before="281" w:lineRule="auto"/>
        <w:rPr/>
      </w:pPr>
      <w:r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3. Requerimientos Técnicos y Arquitectura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rFonts w:ascii="Aptos" w:cs="Aptos" w:eastAsia="Aptos" w:hAnsi="Aptos"/>
          <w:sz w:val="24"/>
          <w:szCs w:val="24"/>
          <w:rtl w:val="0"/>
        </w:rPr>
        <w:t xml:space="preserve">El desarrollo debe seguir estrictamente un patrón de diseño en capas para asegurar el bajo acoplamiento: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(User Interface):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WinForms encargada solo de la captura y muestra de datos.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BLL (Business Logic Layer):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Donde reside la lógica, validaciones y orquestación.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Mapper: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Encargado de transformar las entidades de base de datos (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DataTable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DataRow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en objetos de negocio (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List&lt;BE&gt;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/ ADO (Data Access Layer):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Única capa con permiso para ejecutar comandos SQL.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(Business Entities):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Clases que representen el modelo de dominio, utilizando herencia para los diferentes tipos de cursos.</w:t>
      </w:r>
    </w:p>
    <w:p w:rsidR="00000000" w:rsidDel="00000000" w:rsidP="00000000" w:rsidRDefault="00000000" w:rsidRPr="00000000" w14:paraId="00000022">
      <w:pPr>
        <w:pStyle w:val="Heading3"/>
        <w:spacing w:after="281" w:before="281" w:lineRule="auto"/>
        <w:rPr/>
      </w:pPr>
      <w:r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4. Restricciones de Implementación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Manejo de Excepciones: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debe implementar una estrategia de captura de errores que no pierda el </w:t>
      </w:r>
      <w:r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Trace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original (uso de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throw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throw ex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Controles de UI: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uso de 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ComboBox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debe ser de solo lectura (</w:t>
      </w:r>
      <w:r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DropDownList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garantizar siempre una selección válida.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Persistencia:</w:t>
      </w: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SQL Server con integridad referencial completa (Foreign Keys).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14:paraId="00000030">
      <w:r>
        <w:br w:type="page"/>
      </w:r>
    </w:p>
    <w:p w:rsidR="00000000" w14:paraId="00000031">
      <w:pPr>
        <w:shd w:fill="ffffff" w:val="clear"/>
        <w:spacing w:after="0" w:before="240" w:lineRule="auto"/>
        <w:rPr>
          <w:rFonts w:ascii="Open Sans" w:cs="Open Sans" w:hAnsi="Open Sans"/>
          <w:b/>
          <w:sz w:val="40"/>
          <w:szCs w:val="40"/>
          <w:color w:val="262626"/>
        </w:rPr>
      </w:pPr>
      <w:r>
        <w:rPr>
          <w:rFonts w:ascii="Open Sans" w:cs="Open Sans" w:hAnsi="Open Sans"/>
          <w:b/>
          <w:sz w:val="40"/>
          <w:szCs w:val="40"/>
          <w:color w:val="262626"/>
        </w:rPr>
        <w:t>LENGUAJES DE ÚLTIMA GENERACIÓN — TP Integrador Nº 2 (Extensión)</w:t>
      </w:r>
    </w:p>
    <w:p w:rsidR="00000000" w14:paraId="00000032">
      <w:pPr>
        <w:pStyle w:val="Heading1"/>
        <w:spacing w:after="0" w:before="240" w:lineRule="auto"/>
      </w:pPr>
      <w:r>
        <w:t>5. Extensiones del Sistema Principal</w:t>
      </w:r>
    </w:p>
    <w:p w:rsidR="00000000" w14:paraId="00000033">
      <w:pPr>
        <w:spacing w:after="120" w:before="120" w:lineRule="auto"/>
      </w:pPr>
      <w:r>
        <w:t xml:space="preserve">El TP Nº 2 extiende el sistema desarrollado en el TP Nº 1 incorporando persistencia real en SQL Server mediante Stored Procedures, validaciones avanzadas en la interfaz y dos soluciones periféricias que demuestran patrones de acceso a datos alternativos.</w:t>
      </w:r>
    </w:p>
    <w:p w:rsidR="00000000" w14:paraId="00000034">
      <w:pPr>
        <w:pStyle w:val="Heading2"/>
        <w:spacing w:after="0" w:before="200" w:lineRule="auto"/>
      </w:pPr>
      <w:r>
        <w:t>5.1 Capa de Acceso a Datos con Stored Procedures (AccesoSP)</w:t>
      </w:r>
    </w:p>
    <w:p w:rsidR="00000000" w14:paraId="00000035">
      <w:pPr>
        <w:spacing w:after="100" w:before="80" w:lineRule="auto"/>
      </w:pPr>
      <w:r>
        <w:t xml:space="preserve">Se agrega una nueva clase </w:t>
      </w:r>
      <w:r>
        <w:rPr>
          <w:rFonts w:ascii="Courier New" w:hAnsi="Courier New"/>
        </w:rPr>
        <w:t>AccesoSP</w:t>
      </w:r>
      <w:r>
        <w:t xml:space="preserve"> dentro del proyecto </w:t>
      </w:r>
      <w:r>
        <w:rPr>
          <w:rFonts w:ascii="Courier New" w:hAnsi="Courier New"/>
        </w:rPr>
        <w:t>AccesoDatos</w:t>
      </w:r>
      <w:r>
        <w:t xml:space="preserve"> que reemplaza el uso de consultas SQL inline por llamadas a Stored Procedures parametrizados. La clase </w:t>
      </w:r>
      <w:r>
        <w:rPr>
          <w:rFonts w:ascii="Courier New" w:hAnsi="Courier New"/>
        </w:rPr>
        <w:t>AccesoDAL</w:t>
      </w:r>
      <w:r>
        <w:t xml:space="preserve"> original se conserva como implementación legacy del TP1, sin modificaciones.</w:t>
      </w:r>
    </w:p>
    <w:p w:rsidR="00000000" w14:paraId="00000036">
      <w:pPr>
        <w:spacing w:after="80" w:before="80" w:lineRule="auto"/>
      </w:pPr>
      <w:r>
        <w:t xml:space="preserve">Los métodos expuestos por </w:t>
      </w:r>
      <w:r>
        <w:rPr>
          <w:rFonts w:ascii="Courier New" w:hAnsi="Courier New"/>
        </w:rPr>
        <w:t>AccesoSP</w:t>
      </w:r>
      <w:r>
        <w:t xml:space="preserve"> son: </w:t>
      </w:r>
      <w:r>
        <w:rPr>
          <w:rFonts w:ascii="Courier New" w:hAnsi="Courier New"/>
        </w:rPr>
        <w:t>Leer()</w:t>
      </w:r>
      <w:r>
        <w:t xml:space="preserve"> para consultas que retornan filas, </w:t>
      </w:r>
      <w:r>
        <w:rPr>
          <w:rFonts w:ascii="Courier New" w:hAnsi="Courier New"/>
        </w:rPr>
        <w:t>Ejecutar()</w:t>
      </w:r>
      <w:r>
        <w:t xml:space="preserve"> para operaciones sin retorno de filas, y </w:t>
      </w:r>
      <w:r>
        <w:rPr>
          <w:rFonts w:ascii="Courier New" w:hAnsi="Courier New"/>
        </w:rPr>
        <w:t>EjecutarConOutput()</w:t>
      </w:r>
      <w:r>
        <w:t xml:space="preserve"> para recuperar el valor del parámetro OUTPUT generado por </w:t>
      </w:r>
      <w:r>
        <w:rPr>
          <w:rFonts w:ascii="Courier New" w:hAnsi="Courier New"/>
        </w:rPr>
        <w:t>SCOPE_IDENTITY()</w:t>
      </w:r>
      <w:r>
        <w:t xml:space="preserve"> en los INSERT. Todos los métodos utilizan </w:t>
      </w:r>
      <w:r>
        <w:rPr>
          <w:rFonts w:ascii="Courier New" w:hAnsi="Courier New"/>
        </w:rPr>
        <w:t>CommandType.StoredProcedure</w:t>
      </w:r>
      <w:r>
        <w:t xml:space="preserve"> y manejan la conexión dentro de bloques using.</w:t>
      </w:r>
    </w:p>
    <w:p w:rsidR="00000000" w14:paraId="00000037">
      <w:pPr>
        <w:pStyle w:val="Heading2"/>
        <w:spacing w:after="0" w:before="200" w:lineRule="auto"/>
      </w:pPr>
      <w:r>
        <w:t>5.2 Stored Procedures para la Entidad Alumno</w:t>
      </w:r>
    </w:p>
    <w:p w:rsidR="00000000" w14:paraId="00000038">
      <w:pPr>
        <w:spacing w:after="80" w:before="80" w:lineRule="auto"/>
      </w:pPr>
      <w:r>
        <w:t xml:space="preserve">Se definen cinco Stored Procedures en SQL Server para la entidad Alumno, cubriendo el ciclo completo de ABM. Los SPs que afectan múltiples tablas (</w:t>
      </w:r>
      <w:r>
        <w:rPr>
          <w:rFonts w:ascii="Courier New" w:hAnsi="Courier New"/>
        </w:rPr>
        <w:t>sp_AlumnoInsertar</w:t>
      </w:r>
      <w:r>
        <w:t xml:space="preserve"> y </w:t>
      </w:r>
      <w:r>
        <w:rPr>
          <w:rFonts w:ascii="Courier New" w:hAnsi="Courier New"/>
        </w:rPr>
        <w:t>sp_AlumnoActualizar</w:t>
      </w:r>
      <w:r>
        <w:t xml:space="preserve">) encapsulan una transacción con </w:t>
      </w:r>
      <w:r>
        <w:rPr>
          <w:rFonts w:ascii="Courier New" w:hAnsi="Courier New"/>
        </w:rPr>
        <w:t>BEGIN TRANSACTION / COMMIT / ROLLBACK</w:t>
      </w:r>
      <w:r>
        <w:t xml:space="preserve"> dentro del propio SP. La baja es lógica (</w:t>
      </w:r>
      <w:r>
        <w:rPr>
          <w:rFonts w:ascii="Courier New" w:hAnsi="Courier New"/>
        </w:rPr>
        <w:t>activo = 0</w:t>
      </w:r>
      <w:r>
        <w:t>). Los SPs implementados son:</w:t>
      </w:r>
    </w:p>
    <w:p w:rsidR="00000000" w14:paraId="00000039">
      <w:pPr>
        <w:spacing w:after="60" w:before="60" w:lineRule="auto"/>
        <w:ind w:left="720"/>
      </w:pPr>
      <w:r>
        <w:rPr>
          <w:rFonts w:ascii="Courier New" w:hAnsi="Courier New"/>
        </w:rPr>
        <w:t xml:space="preserve">sp_AlumnoObtenerTodos, sp_AlumnoObtenerPorLegajo, sp_AlumnoInsertar (OUTPUT), sp_AlumnoActualizar, sp_AlumnoBorrar</w:t>
      </w:r>
    </w:p>
    <w:p w:rsidR="00000000" w14:paraId="0000003A">
      <w:pPr>
        <w:spacing w:after="80" w:before="80" w:lineRule="auto"/>
      </w:pPr>
      <w:r>
        <w:t xml:space="preserve">El </w:t>
      </w:r>
      <w:r>
        <w:rPr>
          <w:rFonts w:ascii="Courier New" w:hAnsi="Courier New"/>
        </w:rPr>
        <w:t>MapeadorAlumnos</w:t>
      </w:r>
      <w:r>
        <w:t xml:space="preserve"> es actualizado para consumir </w:t>
      </w:r>
      <w:r>
        <w:rPr>
          <w:rFonts w:ascii="Courier New" w:hAnsi="Courier New"/>
        </w:rPr>
        <w:t>AccesoSP</w:t>
      </w:r>
      <w:r>
        <w:t xml:space="preserve"> en lugar de </w:t>
      </w:r>
      <w:r>
        <w:rPr>
          <w:rFonts w:ascii="Courier New" w:hAnsi="Courier New"/>
        </w:rPr>
        <w:t>AccesoDAL</w:t>
      </w:r>
      <w:r>
        <w:t>, manteniendo la firma pública de sus métodos sin cambios.</w:t>
      </w:r>
    </w:p>
    <w:p w:rsidR="00000000" w14:paraId="0000003B">
      <w:pPr>
        <w:pStyle w:val="Heading2"/>
        <w:spacing w:after="0" w:before="200" w:lineRule="auto"/>
      </w:pPr>
      <w:r>
        <w:t>5.3 Validaciones con Expresiones Regulares</w:t>
      </w:r>
    </w:p>
    <w:p w:rsidR="00000000" w14:paraId="0000003C">
      <w:pPr>
        <w:spacing w:after="80" w:before="80" w:lineRule="auto"/>
      </w:pPr>
      <w:r>
        <w:t xml:space="preserve">Se incorporan validaciones mediante </w:t>
      </w:r>
      <w:r>
        <w:rPr>
          <w:rFonts w:ascii="Courier New" w:hAnsi="Courier New"/>
        </w:rPr>
        <w:t>System.Text.RegularExpressions.Regex</w:t>
      </w:r>
      <w:r>
        <w:t xml:space="preserve"> en dos formularios SDI del sistema principal:</w:t>
      </w:r>
    </w:p>
    <w:p w:rsidR="00000000" w14:paraId="0000003D">
      <w:pPr>
        <w:spacing w:after="60" w:before="40" w:lineRule="auto"/>
        <w:ind w:left="720"/>
      </w:pPr>
      <w:r>
        <w:rPr>
          <w:b/>
        </w:rPr>
        <w:t xml:space="preserve">FormAlumnos: </w:t>
      </w:r>
      <w:r>
        <w:t xml:space="preserve">Documento validado con </w:t>
      </w:r>
      <w:r>
        <w:rPr>
          <w:rFonts w:ascii="Courier New" w:hAnsi="Courier New"/>
        </w:rPr>
        <w:t>^\d{7,8}$</w:t>
      </w:r>
      <w:r>
        <w:t xml:space="preserve"> (7 u 8 dígitos numéricos). Nombre y Apellido validado con expresión que exige mínimo dos palabras y solo letras con soporte de acentos.</w:t>
      </w:r>
    </w:p>
    <w:p w:rsidR="00000000" w14:paraId="0000003E">
      <w:pPr>
        <w:spacing w:after="80" w:before="40" w:lineRule="auto"/>
        <w:ind w:left="720"/>
      </w:pPr>
      <w:r>
        <w:rPr>
          <w:b/>
        </w:rPr>
        <w:t xml:space="preserve">FormCursos: </w:t>
      </w:r>
      <w:r>
        <w:t xml:space="preserve">Nombre del curso validado con mínimo 3 caracteres alfanuméricos. Precio validado como entero positivo (solo cuando el tipo de curso es Pago).</w:t>
      </w:r>
    </w:p>
    <w:p w:rsidR="00000000" w14:paraId="0000003F">
      <w:pPr>
        <w:spacing w:after="80" w:before="80" w:lineRule="auto"/>
      </w:pPr>
      <w:r>
        <w:t>Las expresiones regulares se declaran como campos estáticos de solo lectura para evitar recompilaciones innecesarias. La validación ocurre antes de invocar la BLL y el foco se posiciona automáticamente en el campo inválido.</w:t>
      </w:r>
    </w:p>
    <w:p w:rsidR="00000000" w14:paraId="00000040">
      <w:pPr>
        <w:pStyle w:val="Heading2"/>
        <w:spacing w:after="0" w:before="200" w:lineRule="auto"/>
      </w:pPr>
      <w:r>
        <w:t>5.4 Control de Usuario Reutilizable (UCBuscador)</w:t>
      </w:r>
    </w:p>
    <w:p w:rsidR="00000000" w14:paraId="00000041">
      <w:pPr>
        <w:spacing w:after="80" w:before="80" w:lineRule="auto"/>
      </w:pPr>
      <w:r>
        <w:t xml:space="preserve">Se desarrolla un </w:t>
      </w:r>
      <w:r>
        <w:rPr>
          <w:rFonts w:ascii="Courier New" w:hAnsi="Courier New"/>
        </w:rPr>
        <w:t>UserControl</w:t>
      </w:r>
      <w:r>
        <w:t xml:space="preserve"> denominado </w:t>
      </w:r>
      <w:r>
        <w:rPr>
          <w:rFonts w:ascii="Courier New" w:hAnsi="Courier New"/>
        </w:rPr>
        <w:t>UCBuscador</w:t>
      </w:r>
      <w:r>
        <w:t xml:space="preserve"> compuesto por un </w:t>
      </w:r>
      <w:r>
        <w:rPr>
          <w:rFonts w:ascii="Courier New" w:hAnsi="Courier New"/>
        </w:rPr>
        <w:t>TextBox</w:t>
      </w:r>
      <w:r>
        <w:t xml:space="preserve"> con efecto placeholder y un botón “Buscar”. Expone el evento público </w:t>
      </w:r>
      <w:r>
        <w:rPr>
          <w:rFonts w:ascii="Courier New" w:hAnsi="Courier New"/>
        </w:rPr>
        <w:t>OnBuscar</w:t>
      </w:r>
      <w:r>
        <w:t xml:space="preserve"> que notifica el texto ingresado al formulario contenedor. También responde a la tecla Enter y expone el método </w:t>
      </w:r>
      <w:r>
        <w:rPr>
          <w:rFonts w:ascii="Courier New" w:hAnsi="Courier New"/>
        </w:rPr>
        <w:t>LimpiarBusqueda()</w:t>
      </w:r>
      <w:r>
        <w:t xml:space="preserve">. El control se reutiliza en </w:t>
      </w:r>
      <w:r>
        <w:rPr>
          <w:rFonts w:ascii="Courier New" w:hAnsi="Courier New"/>
        </w:rPr>
        <w:t>FormAlumnos</w:t>
      </w:r>
      <w:r>
        <w:t xml:space="preserve"> y </w:t>
      </w:r>
      <w:r>
        <w:rPr>
          <w:rFonts w:ascii="Courier New" w:hAnsi="Courier New"/>
        </w:rPr>
        <w:t>FormCursos</w:t>
      </w:r>
      <w:r>
        <w:t>, filtrando el DataGridView en memoria mediante LINQ.</w:t>
      </w:r>
    </w:p>
    <w:p w:rsidR="00000000" w14:paraId="00000042">
      <w:pPr>
        <w:pStyle w:val="Heading1"/>
        <w:spacing w:after="0" w:before="300" w:lineRule="auto"/>
      </w:pPr>
      <w:r>
        <w:t>6. Solución Periférica Nº 1: ABM Desconectado (2 Capas)</w:t>
      </w:r>
    </w:p>
    <w:p w:rsidR="00000000" w14:paraId="00000043">
      <w:pPr>
        <w:spacing w:after="100" w:before="120" w:lineRule="auto"/>
      </w:pPr>
      <w:r>
        <w:t xml:space="preserve">Solución independiente con arquitectura de 2 capas (UI + AccesoDatos) que demuestra el patrón de acceso desconectado a datos. No reutiliza capas del proyecto principal.</w:t>
      </w:r>
    </w:p>
    <w:p w:rsidR="00000000" w14:paraId="00000044">
      <w:pPr>
        <w:pStyle w:val="Heading2"/>
        <w:spacing w:after="0" w:before="180" w:lineRule="auto"/>
      </w:pPr>
      <w:r>
        <w:t>6.1 Arquitectura</w:t>
      </w:r>
    </w:p>
    <w:p w:rsidR="00000000" w14:paraId="00000045">
      <w:pPr>
        <w:spacing w:after="80" w:before="80" w:lineRule="auto"/>
      </w:pPr>
      <w:r>
        <w:t xml:space="preserve">La capa </w:t>
      </w:r>
      <w:r>
        <w:rPr>
          <w:rFonts w:ascii="Courier New" w:hAnsi="Courier New"/>
        </w:rPr>
        <w:t>AlumnoDataAccess</w:t>
      </w:r>
      <w:r>
        <w:t xml:space="preserve"> abre la conexión una única vez al iniciar, carga los datos en un </w:t>
      </w:r>
      <w:r>
        <w:rPr>
          <w:rFonts w:ascii="Courier New" w:hAnsi="Courier New"/>
        </w:rPr>
        <w:t>DataSet</w:t>
      </w:r>
      <w:r>
        <w:t xml:space="preserve"> con dos </w:t>
      </w:r>
      <w:r>
        <w:rPr>
          <w:rFonts w:ascii="Courier New" w:hAnsi="Courier New"/>
        </w:rPr>
        <w:t>DataTable</w:t>
      </w:r>
      <w:r>
        <w:t xml:space="preserve"> relacionados (Alumnos y Direcciones) y cierra la conexión. Todas las operaciones de alta, modificación y eliminación se realizan sobre el </w:t>
      </w:r>
      <w:r>
        <w:rPr>
          <w:rFonts w:ascii="Courier New" w:hAnsi="Courier New"/>
        </w:rPr>
        <w:t>DataSet</w:t>
      </w:r>
      <w:r>
        <w:t xml:space="preserve"> en memoria sin contacto con la base de datos.</w:t>
      </w:r>
    </w:p>
    <w:p w:rsidR="00000000" w14:paraId="00000046">
      <w:pPr>
        <w:pStyle w:val="Heading2"/>
        <w:spacing w:after="0" w:before="180" w:lineRule="auto"/>
      </w:pPr>
      <w:r>
        <w:t>6.2 Persistencia manual y filtro desconectado</w:t>
      </w:r>
    </w:p>
    <w:p w:rsidR="00000000" w14:paraId="00000047">
      <w:pPr>
        <w:spacing w:after="80" w:before="80" w:lineRule="auto"/>
      </w:pPr>
      <w:r>
        <w:t xml:space="preserve">El formulario expone un botón “Guardar Cambios” que se habilita únicamente cuando </w:t>
      </w:r>
      <w:r>
        <w:rPr>
          <w:rFonts w:ascii="Courier New" w:hAnsi="Courier New"/>
        </w:rPr>
        <w:t>DataSet.HasChanges()</w:t>
      </w:r>
      <w:r>
        <w:t xml:space="preserve"> es verdadero. Al confirmar, se abre la conexión, se ejecuta </w:t>
      </w:r>
      <w:r>
        <w:rPr>
          <w:rFonts w:ascii="Courier New" w:hAnsi="Courier New"/>
        </w:rPr>
        <w:t>SqlDataAdapter.Update()</w:t>
      </w:r>
      <w:r>
        <w:t xml:space="preserve"> para cada tabla dentro de una transacción respetando el orden de FK (hijos antes que padres en eliminaciones, padres antes que hijos en inserciones), y se cierra la conexión. Un botón “Descartar” invoca </w:t>
      </w:r>
      <w:r>
        <w:rPr>
          <w:rFonts w:ascii="Courier New" w:hAnsi="Courier New"/>
        </w:rPr>
        <w:t>DataSet.RejectChanges()</w:t>
      </w:r>
      <w:r>
        <w:t xml:space="preserve"> para revertir todos los cambios en memoria. El filtro opera mediante </w:t>
      </w:r>
      <w:r>
        <w:rPr>
          <w:rFonts w:ascii="Courier New" w:hAnsi="Courier New"/>
        </w:rPr>
        <w:t>DataView.RowFilter</w:t>
      </w:r>
      <w:r>
        <w:t>, sin consultas adicionales a la base de datos.</w:t>
      </w:r>
    </w:p>
    <w:p w:rsidR="00000000" w14:paraId="00000048">
      <w:pPr>
        <w:pStyle w:val="Heading1"/>
        <w:spacing w:after="0" w:before="300" w:lineRule="auto"/>
      </w:pPr>
      <w:r>
        <w:t>7. Solución Periférica Nº 2: ABM sobre XML (4 Capas)</w:t>
      </w:r>
    </w:p>
    <w:p w:rsidR="00000000" w14:paraId="00000049">
      <w:pPr>
        <w:spacing w:after="100" w:before="120" w:lineRule="auto"/>
      </w:pPr>
      <w:r>
        <w:t xml:space="preserve">Solución independiente con arquitectura de 4 capas (UI → BE → BLL → MPP) que demuestra persistencia sobre un archivo XML, sin base de datos relacional.</w:t>
      </w:r>
    </w:p>
    <w:p w:rsidR="00000000" w14:paraId="0000004A">
      <w:pPr>
        <w:pStyle w:val="Heading2"/>
        <w:spacing w:after="0" w:before="180" w:lineRule="auto"/>
      </w:pPr>
      <w:r>
        <w:t>7.1 Arquitectura de capas</w:t>
      </w:r>
    </w:p>
    <w:p w:rsidR="00000000" w14:paraId="0000004B">
      <w:pPr>
        <w:spacing w:after="60" w:before="60" w:lineRule="auto"/>
        <w:ind w:left="720"/>
      </w:pPr>
      <w:r>
        <w:rPr>
          <w:b/>
        </w:rPr>
        <w:t xml:space="preserve">EntidadesNegocio (BE): </w:t>
      </w:r>
      <w:r>
        <w:t xml:space="preserve">Clase </w:t>
      </w:r>
      <w:r>
        <w:rPr>
          <w:rFonts w:ascii="Courier New" w:hAnsi="Courier New"/>
        </w:rPr>
        <w:t>AlumnoBE</w:t>
      </w:r>
      <w:r>
        <w:t xml:space="preserve"> con propiedades planas (sin DireccionBE separado), redefinida localmente en la solución.</w:t>
      </w:r>
    </w:p>
    <w:p w:rsidR="00000000" w14:paraId="0000004C">
      <w:pPr>
        <w:spacing w:after="60" w:before="60" w:lineRule="auto"/>
        <w:ind w:left="720"/>
      </w:pPr>
      <w:r>
        <w:rPr>
          <w:b/>
        </w:rPr>
        <w:t xml:space="preserve">LogicaNegocio (BLL): </w:t>
      </w:r>
      <w:r>
        <w:t xml:space="preserve">Clase </w:t>
      </w:r>
      <w:r>
        <w:rPr>
          <w:rFonts w:ascii="Courier New" w:hAnsi="Courier New"/>
        </w:rPr>
        <w:t>AlumnoBLL</w:t>
      </w:r>
      <w:r>
        <w:t xml:space="preserve"> con validaciones de negocio. Distingue alta (</w:t>
      </w:r>
      <w:r>
        <w:rPr>
          <w:rFonts w:ascii="Courier New" w:hAnsi="Courier New"/>
        </w:rPr>
        <w:t>Legajo == 0</w:t>
      </w:r>
      <w:r>
        <w:t>) de modificación delegando a la capa MPP.</w:t>
      </w:r>
    </w:p>
    <w:p w:rsidR="00000000" w14:paraId="0000004D">
      <w:pPr>
        <w:spacing w:after="60" w:before="60" w:lineRule="auto"/>
        <w:ind w:left="720"/>
      </w:pPr>
      <w:r>
        <w:rPr>
          <w:b/>
        </w:rPr>
        <w:t xml:space="preserve">Persistencia (MPP): </w:t>
      </w:r>
      <w:r>
        <w:t xml:space="preserve">Clase </w:t>
      </w:r>
      <w:r>
        <w:rPr>
          <w:rFonts w:ascii="Courier New" w:hAnsi="Courier New"/>
        </w:rPr>
        <w:t>AlumnoXML</w:t>
      </w:r>
      <w:r>
        <w:t xml:space="preserve"> que utiliza </w:t>
      </w:r>
      <w:r>
        <w:rPr>
          <w:rFonts w:ascii="Courier New" w:hAnsi="Courier New"/>
        </w:rPr>
        <w:t>XmlDocument</w:t>
      </w:r>
      <w:r>
        <w:t xml:space="preserve"> y XPath para leer, insertar, actualizar, eliminar y buscar nodos. El archivo </w:t>
      </w:r>
      <w:r>
        <w:rPr>
          <w:rFonts w:ascii="Courier New" w:hAnsi="Courier New"/>
        </w:rPr>
        <w:t>alumnos.xml</w:t>
      </w:r>
      <w:r>
        <w:t xml:space="preserve"> se crea automáticamente con datos de ejemplo si no existe.</w:t>
      </w:r>
    </w:p>
    <w:p w:rsidR="00000000" w14:paraId="0000004E">
      <w:pPr>
        <w:spacing w:after="60" w:before="60" w:lineRule="auto"/>
        <w:ind w:left="720"/>
      </w:pPr>
      <w:r>
        <w:rPr>
          <w:b/>
        </w:rPr>
        <w:t xml:space="preserve">Presentacion (UI): </w:t>
      </w:r>
      <w:r>
        <w:t>Formulario WinForms con DataGridView, campos de edición y sección de búsqueda que filtra por nombre o ciudad usando XPath con la función contains().</w:t>
      </w:r>
    </w:p>
    <w:p w:rsidR="00000000" w14:paraId="0000004F">
      <w:pPr>
        <w:pStyle w:val="Heading2"/>
        <w:spacing w:after="0" w:before="180" w:lineRule="auto"/>
      </w:pPr>
      <w:r>
        <w:t>7.2 Comportamiento del archivo XML</w:t>
      </w:r>
    </w:p>
    <w:p w:rsidR="00000000" w14:paraId="00000050">
      <w:pPr>
        <w:spacing w:after="80" w:before="80" w:lineRule="auto"/>
      </w:pPr>
      <w:r>
        <w:t xml:space="preserve">Cada operación de escritura carga el documento completo, aplica la modificación sobre el árbol DOM y lo guarda inmediatamente, garantizando consistencia. Los legajos se autoincrement mediante el valor máximo existente en el XML más uno. La eliminación es física (se remueve el nodo del árbol DOM).</w:t>
      </w:r>
    </w:p>
    <w:p w:rsidR="00000000" w14:paraId="00000051">
      <w:pPr>
        <w:rPr/>
      </w:pP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Noto Serif"/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ktSqJojbL4Kg+56L27uBx+fAcw==">CgMxLjA4AHIhMS1BLXZHM09iZGZkdjZxaTdKblVaVFZIQ0ptOFFqTjRk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