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5CAB" w14:textId="77777777" w:rsidR="00DA78BF" w:rsidRPr="00DA78BF" w:rsidRDefault="00DA78BF" w:rsidP="00DA78BF">
      <w:pPr>
        <w:rPr>
          <w:b/>
          <w:bCs/>
          <w:lang w:val="en-GB"/>
        </w:rPr>
      </w:pPr>
      <w:r w:rsidRPr="00DA78BF">
        <w:rPr>
          <w:b/>
          <w:bCs/>
          <w:lang w:val="en-GB"/>
        </w:rPr>
        <w:t>Backend Design: Unified Microservice Authorization Architecture</w:t>
      </w:r>
    </w:p>
    <w:p w14:paraId="6786E1E9" w14:textId="77777777" w:rsidR="00DA78BF" w:rsidRPr="00DA78BF" w:rsidRDefault="00DA78BF" w:rsidP="00DA78BF">
      <w:pPr>
        <w:rPr>
          <w:b/>
          <w:bCs/>
          <w:lang w:val="en-GB"/>
        </w:rPr>
      </w:pPr>
      <w:r w:rsidRPr="00DA78BF">
        <w:rPr>
          <w:b/>
          <w:bCs/>
          <w:lang w:val="en-GB"/>
        </w:rPr>
        <w:t>Purpose</w:t>
      </w:r>
    </w:p>
    <w:p w14:paraId="3C95A706" w14:textId="77777777" w:rsidR="00DA78BF" w:rsidRPr="00DA78BF" w:rsidRDefault="00DA78BF" w:rsidP="00DA78BF">
      <w:pPr>
        <w:rPr>
          <w:lang w:val="en-GB"/>
        </w:rPr>
      </w:pPr>
      <w:r w:rsidRPr="00DA78BF">
        <w:rPr>
          <w:lang w:val="en-GB"/>
        </w:rPr>
        <w:t xml:space="preserve">This design introduces a standardized and maintainable approach to handling authorization for outbound microservice calls in the </w:t>
      </w:r>
      <w:proofErr w:type="spellStart"/>
      <w:r w:rsidRPr="00DA78BF">
        <w:rPr>
          <w:lang w:val="en-GB"/>
        </w:rPr>
        <w:t>TravelMate</w:t>
      </w:r>
      <w:proofErr w:type="spellEnd"/>
      <w:r w:rsidRPr="00DA78BF">
        <w:rPr>
          <w:lang w:val="en-GB"/>
        </w:rPr>
        <w:t xml:space="preserve"> system. Previously, different services duplicated logic to obtain authorization tokens for either OAuth2-based APIs or SecureM2M-protected endpoints. The lack of consistency led to maintenance issues, redundancy, and risk of misconfiguration.</w:t>
      </w:r>
    </w:p>
    <w:p w14:paraId="543562ED" w14:textId="08DAEB40" w:rsidR="00DA78BF" w:rsidRPr="00DA78BF" w:rsidRDefault="00DA78BF" w:rsidP="00DA78BF">
      <w:pPr>
        <w:rPr>
          <w:lang w:val="en-GB"/>
        </w:rPr>
      </w:pPr>
      <w:r w:rsidRPr="00DA78BF">
        <w:rPr>
          <w:lang w:val="en-GB"/>
        </w:rPr>
        <w:t>The need for this design became especially clear when the Work Force Identity Database (WFIDB) introduced an API that required a different authorization mechanism</w:t>
      </w:r>
      <w:r>
        <w:rPr>
          <w:lang w:val="en-GB"/>
        </w:rPr>
        <w:t xml:space="preserve"> (</w:t>
      </w:r>
      <w:r w:rsidRPr="00DA78BF">
        <w:rPr>
          <w:lang w:val="en-GB"/>
        </w:rPr>
        <w:t>OAuth2 with JWT</w:t>
      </w:r>
      <w:r>
        <w:rPr>
          <w:lang w:val="en-GB"/>
        </w:rPr>
        <w:t xml:space="preserve">) </w:t>
      </w:r>
      <w:r w:rsidRPr="00DA78BF">
        <w:rPr>
          <w:lang w:val="en-GB"/>
        </w:rPr>
        <w:t xml:space="preserve">in contrast to the SecureM2M approach used by other internal APIs such as the </w:t>
      </w:r>
      <w:proofErr w:type="spellStart"/>
      <w:r w:rsidRPr="00DA78BF">
        <w:rPr>
          <w:lang w:val="en-GB"/>
        </w:rPr>
        <w:t>FeatureFlag</w:t>
      </w:r>
      <w:proofErr w:type="spellEnd"/>
      <w:r w:rsidRPr="00DA78BF">
        <w:rPr>
          <w:lang w:val="en-GB"/>
        </w:rPr>
        <w:t xml:space="preserve"> API. This divergence introduced complexity and made it harder to maintain consistent practices across services.</w:t>
      </w:r>
    </w:p>
    <w:p w14:paraId="1F20FE75" w14:textId="77777777" w:rsidR="00DA78BF" w:rsidRPr="00DA78BF" w:rsidRDefault="00DA78BF" w:rsidP="00DA78BF">
      <w:pPr>
        <w:rPr>
          <w:lang w:val="en-GB"/>
        </w:rPr>
      </w:pPr>
      <w:r w:rsidRPr="00DA78BF">
        <w:rPr>
          <w:lang w:val="en-GB"/>
        </w:rPr>
        <w:t>The new approach consolidates this logic into a shared and extensible authorization layer that supports both schemes and includes built-in token caching to minimize unnecessary external calls.</w:t>
      </w:r>
    </w:p>
    <w:p w14:paraId="4FCE989B" w14:textId="77777777" w:rsidR="00DA78BF" w:rsidRPr="00DA78BF" w:rsidRDefault="00DA78BF" w:rsidP="00DA78BF">
      <w:pPr>
        <w:rPr>
          <w:b/>
          <w:bCs/>
          <w:lang w:val="en-GB"/>
        </w:rPr>
      </w:pPr>
      <w:r w:rsidRPr="00DA78BF">
        <w:rPr>
          <w:b/>
          <w:bCs/>
          <w:lang w:val="en-GB"/>
        </w:rPr>
        <w:t>Supported Authorization Strategies</w:t>
      </w:r>
    </w:p>
    <w:p w14:paraId="43C164CD" w14:textId="77777777" w:rsidR="00DA78BF" w:rsidRPr="00DA78BF" w:rsidRDefault="00DA78BF" w:rsidP="00DA78BF">
      <w:pPr>
        <w:numPr>
          <w:ilvl w:val="0"/>
          <w:numId w:val="1"/>
        </w:numPr>
        <w:rPr>
          <w:lang w:val="en-GB"/>
        </w:rPr>
      </w:pPr>
      <w:r w:rsidRPr="00DA78BF">
        <w:rPr>
          <w:b/>
          <w:bCs/>
          <w:lang w:val="en-GB"/>
        </w:rPr>
        <w:t>OAuth2 JWT</w:t>
      </w:r>
      <w:r w:rsidRPr="00DA78BF">
        <w:rPr>
          <w:lang w:val="en-GB"/>
        </w:rPr>
        <w:t>: For APIs protected by the Swisscom Authorization API, such as WFIDB.</w:t>
      </w:r>
    </w:p>
    <w:p w14:paraId="6D44D4ED" w14:textId="77777777" w:rsidR="00DA78BF" w:rsidRPr="00DA78BF" w:rsidRDefault="00DA78BF" w:rsidP="00DA78BF">
      <w:pPr>
        <w:numPr>
          <w:ilvl w:val="0"/>
          <w:numId w:val="1"/>
        </w:numPr>
        <w:rPr>
          <w:lang w:val="en-GB"/>
        </w:rPr>
      </w:pPr>
      <w:r w:rsidRPr="00DA78BF">
        <w:rPr>
          <w:b/>
          <w:bCs/>
          <w:lang w:val="en-GB"/>
        </w:rPr>
        <w:t>Secure Machine-to-Machine (SecureM2M)</w:t>
      </w:r>
      <w:r w:rsidRPr="00DA78BF">
        <w:rPr>
          <w:lang w:val="en-GB"/>
        </w:rPr>
        <w:t>: For internal APIs requiring SecureM2M credentials.</w:t>
      </w:r>
    </w:p>
    <w:p w14:paraId="04A97ABE" w14:textId="77777777" w:rsidR="00DA78BF" w:rsidRPr="00DA78BF" w:rsidRDefault="00DA78BF" w:rsidP="00DA78BF">
      <w:pPr>
        <w:rPr>
          <w:lang w:val="en-GB"/>
        </w:rPr>
      </w:pPr>
      <w:r w:rsidRPr="00DA78BF">
        <w:rPr>
          <w:lang w:val="en-GB"/>
        </w:rPr>
        <w:t>Both strategies are implemented under a shared abstraction and can be used transparently by business services.</w:t>
      </w:r>
    </w:p>
    <w:p w14:paraId="74D67B33" w14:textId="77777777" w:rsidR="00DA78BF" w:rsidRPr="00DA78BF" w:rsidRDefault="00DA78BF" w:rsidP="00DA78BF">
      <w:pPr>
        <w:rPr>
          <w:b/>
          <w:bCs/>
          <w:lang w:val="en-GB"/>
        </w:rPr>
      </w:pPr>
      <w:r w:rsidRPr="00DA78BF">
        <w:rPr>
          <w:b/>
          <w:bCs/>
          <w:lang w:val="en-GB"/>
        </w:rPr>
        <w:t>Architecture Overview</w:t>
      </w:r>
    </w:p>
    <w:p w14:paraId="63414BDC" w14:textId="77777777" w:rsidR="00DA78BF" w:rsidRPr="00DA78BF" w:rsidRDefault="00DA78BF" w:rsidP="00DA78BF">
      <w:pPr>
        <w:rPr>
          <w:lang w:val="en-GB"/>
        </w:rPr>
      </w:pPr>
      <w:r w:rsidRPr="00DA78BF">
        <w:rPr>
          <w:lang w:val="en-GB"/>
        </w:rPr>
        <w:t>The authorization flow is structured around the following components:</w:t>
      </w:r>
    </w:p>
    <w:p w14:paraId="5B082C55" w14:textId="77777777" w:rsidR="00DA78BF" w:rsidRPr="00DA78BF" w:rsidRDefault="00DA78BF" w:rsidP="00DA78BF">
      <w:pPr>
        <w:rPr>
          <w:b/>
          <w:bCs/>
          <w:lang w:val="en-GB"/>
        </w:rPr>
      </w:pPr>
      <w:proofErr w:type="spellStart"/>
      <w:r w:rsidRPr="00DA78BF">
        <w:rPr>
          <w:b/>
          <w:bCs/>
          <w:lang w:val="en-GB"/>
        </w:rPr>
        <w:t>AbstractAuthorizationService</w:t>
      </w:r>
      <w:proofErr w:type="spellEnd"/>
    </w:p>
    <w:p w14:paraId="6399AAEB" w14:textId="77777777" w:rsidR="00DA78BF" w:rsidRPr="00DA78BF" w:rsidRDefault="00DA78BF" w:rsidP="00DA78BF">
      <w:pPr>
        <w:numPr>
          <w:ilvl w:val="0"/>
          <w:numId w:val="2"/>
        </w:numPr>
        <w:rPr>
          <w:lang w:val="en-GB"/>
        </w:rPr>
      </w:pPr>
      <w:r w:rsidRPr="00DA78BF">
        <w:rPr>
          <w:lang w:val="en-GB"/>
        </w:rPr>
        <w:t xml:space="preserve">Defines shared </w:t>
      </w:r>
      <w:proofErr w:type="spellStart"/>
      <w:r w:rsidRPr="00DA78BF">
        <w:rPr>
          <w:lang w:val="en-GB"/>
        </w:rPr>
        <w:t>behavior</w:t>
      </w:r>
      <w:proofErr w:type="spellEnd"/>
      <w:r w:rsidRPr="00DA78BF">
        <w:rPr>
          <w:lang w:val="en-GB"/>
        </w:rPr>
        <w:t xml:space="preserve"> for all authorization mechanisms.</w:t>
      </w:r>
    </w:p>
    <w:p w14:paraId="193EE4BF" w14:textId="77777777" w:rsidR="00DA78BF" w:rsidRPr="00DA78BF" w:rsidRDefault="00DA78BF" w:rsidP="00DA78BF">
      <w:pPr>
        <w:numPr>
          <w:ilvl w:val="0"/>
          <w:numId w:val="2"/>
        </w:numPr>
        <w:rPr>
          <w:lang w:val="en-GB"/>
        </w:rPr>
      </w:pPr>
      <w:r w:rsidRPr="00DA78BF">
        <w:rPr>
          <w:lang w:val="en-GB"/>
        </w:rPr>
        <w:t>Provides:</w:t>
      </w:r>
    </w:p>
    <w:p w14:paraId="1CDA3207" w14:textId="77777777" w:rsidR="00DA78BF" w:rsidRPr="00DA78BF" w:rsidRDefault="00DA78BF" w:rsidP="00DA78BF">
      <w:pPr>
        <w:numPr>
          <w:ilvl w:val="1"/>
          <w:numId w:val="2"/>
        </w:numPr>
        <w:rPr>
          <w:lang w:val="en-GB"/>
        </w:rPr>
      </w:pPr>
      <w:proofErr w:type="spellStart"/>
      <w:r w:rsidRPr="00DA78BF">
        <w:rPr>
          <w:lang w:val="en-GB"/>
        </w:rPr>
        <w:t>getToken</w:t>
      </w:r>
      <w:proofErr w:type="spellEnd"/>
      <w:r w:rsidRPr="00DA78BF">
        <w:rPr>
          <w:lang w:val="en-GB"/>
        </w:rPr>
        <w:t>(</w:t>
      </w:r>
      <w:proofErr w:type="spellStart"/>
      <w:r w:rsidRPr="00DA78BF">
        <w:rPr>
          <w:lang w:val="en-GB"/>
        </w:rPr>
        <w:t>AuthTokenConfig</w:t>
      </w:r>
      <w:proofErr w:type="spellEnd"/>
      <w:r w:rsidRPr="00DA78BF">
        <w:rPr>
          <w:lang w:val="en-GB"/>
        </w:rPr>
        <w:t>): Main entry point for token acquisition.</w:t>
      </w:r>
    </w:p>
    <w:p w14:paraId="79BE0AAF" w14:textId="77777777" w:rsidR="00DA78BF" w:rsidRPr="00DA78BF" w:rsidRDefault="00DA78BF" w:rsidP="00DA78BF">
      <w:pPr>
        <w:numPr>
          <w:ilvl w:val="1"/>
          <w:numId w:val="2"/>
        </w:numPr>
        <w:rPr>
          <w:lang w:val="en-GB"/>
        </w:rPr>
      </w:pPr>
      <w:proofErr w:type="spellStart"/>
      <w:r w:rsidRPr="00DA78BF">
        <w:rPr>
          <w:lang w:val="en-GB"/>
        </w:rPr>
        <w:t>fetchNewToken</w:t>
      </w:r>
      <w:proofErr w:type="spellEnd"/>
      <w:r w:rsidRPr="00DA78BF">
        <w:rPr>
          <w:lang w:val="en-GB"/>
        </w:rPr>
        <w:t>(</w:t>
      </w:r>
      <w:proofErr w:type="spellStart"/>
      <w:r w:rsidRPr="00DA78BF">
        <w:rPr>
          <w:lang w:val="en-GB"/>
        </w:rPr>
        <w:t>AuthTokenConfig</w:t>
      </w:r>
      <w:proofErr w:type="spellEnd"/>
      <w:r w:rsidRPr="00DA78BF">
        <w:rPr>
          <w:lang w:val="en-GB"/>
        </w:rPr>
        <w:t>): Internally used to retrieve new tokens when needed.</w:t>
      </w:r>
    </w:p>
    <w:p w14:paraId="0AACDB1B" w14:textId="77777777" w:rsidR="00DA78BF" w:rsidRPr="00DA78BF" w:rsidRDefault="00DA78BF" w:rsidP="00DA78BF">
      <w:pPr>
        <w:numPr>
          <w:ilvl w:val="1"/>
          <w:numId w:val="2"/>
        </w:numPr>
        <w:rPr>
          <w:lang w:val="en-GB"/>
        </w:rPr>
      </w:pPr>
      <w:proofErr w:type="spellStart"/>
      <w:r w:rsidRPr="00DA78BF">
        <w:rPr>
          <w:lang w:val="en-GB"/>
        </w:rPr>
        <w:t>shouldExtractClaims</w:t>
      </w:r>
      <w:proofErr w:type="spellEnd"/>
      <w:r w:rsidRPr="00DA78BF">
        <w:rPr>
          <w:lang w:val="en-GB"/>
        </w:rPr>
        <w:t>(): Optional hook for claim-based logic.</w:t>
      </w:r>
    </w:p>
    <w:p w14:paraId="245E5448" w14:textId="77777777" w:rsidR="00DA78BF" w:rsidRPr="00DA78BF" w:rsidRDefault="00DA78BF" w:rsidP="00DA78BF">
      <w:pPr>
        <w:numPr>
          <w:ilvl w:val="0"/>
          <w:numId w:val="2"/>
        </w:numPr>
        <w:rPr>
          <w:lang w:val="en-GB"/>
        </w:rPr>
      </w:pPr>
      <w:r w:rsidRPr="00DA78BF">
        <w:rPr>
          <w:lang w:val="en-GB"/>
        </w:rPr>
        <w:t>Includes built-in caching of tokens per configuration (e.g., per client ID and audience).</w:t>
      </w:r>
    </w:p>
    <w:p w14:paraId="51D40DD8" w14:textId="77777777" w:rsidR="00DA78BF" w:rsidRPr="00DA78BF" w:rsidRDefault="00DA78BF" w:rsidP="00DA78BF">
      <w:pPr>
        <w:rPr>
          <w:b/>
          <w:bCs/>
          <w:lang w:val="en-GB"/>
        </w:rPr>
      </w:pPr>
      <w:r w:rsidRPr="00DA78BF">
        <w:rPr>
          <w:b/>
          <w:bCs/>
          <w:lang w:val="en-GB"/>
        </w:rPr>
        <w:t>OAuth2JwtService / SecureM2MJwtService</w:t>
      </w:r>
    </w:p>
    <w:p w14:paraId="4F240071" w14:textId="77777777" w:rsidR="00DA78BF" w:rsidRPr="00DA78BF" w:rsidRDefault="00DA78BF" w:rsidP="00DA78BF">
      <w:pPr>
        <w:numPr>
          <w:ilvl w:val="0"/>
          <w:numId w:val="3"/>
        </w:numPr>
        <w:rPr>
          <w:lang w:val="en-GB"/>
        </w:rPr>
      </w:pPr>
      <w:r w:rsidRPr="00DA78BF">
        <w:rPr>
          <w:lang w:val="en-GB"/>
        </w:rPr>
        <w:t>Implement the logic for their respective token schemes.</w:t>
      </w:r>
    </w:p>
    <w:p w14:paraId="3331DB40" w14:textId="77777777" w:rsidR="00DA78BF" w:rsidRPr="00DA78BF" w:rsidRDefault="00DA78BF" w:rsidP="00DA78BF">
      <w:pPr>
        <w:numPr>
          <w:ilvl w:val="0"/>
          <w:numId w:val="3"/>
        </w:numPr>
        <w:rPr>
          <w:lang w:val="en-GB"/>
        </w:rPr>
      </w:pPr>
      <w:r w:rsidRPr="00DA78BF">
        <w:rPr>
          <w:lang w:val="en-GB"/>
        </w:rPr>
        <w:t>Internally delegate the actual token retrieval to:</w:t>
      </w:r>
    </w:p>
    <w:p w14:paraId="1AB4E4D1" w14:textId="77777777" w:rsidR="00DA78BF" w:rsidRPr="00DA78BF" w:rsidRDefault="00DA78BF" w:rsidP="00DA78BF">
      <w:pPr>
        <w:numPr>
          <w:ilvl w:val="1"/>
          <w:numId w:val="3"/>
        </w:numPr>
        <w:rPr>
          <w:lang w:val="en-GB"/>
        </w:rPr>
      </w:pPr>
      <w:r w:rsidRPr="00DA78BF">
        <w:rPr>
          <w:lang w:val="en-GB"/>
        </w:rPr>
        <w:t>OAuth2JwtClient (for OAuth2)</w:t>
      </w:r>
    </w:p>
    <w:p w14:paraId="28BAF31B" w14:textId="77777777" w:rsidR="00DA78BF" w:rsidRPr="00DA78BF" w:rsidRDefault="00DA78BF" w:rsidP="00DA78BF">
      <w:pPr>
        <w:numPr>
          <w:ilvl w:val="1"/>
          <w:numId w:val="3"/>
        </w:numPr>
        <w:rPr>
          <w:lang w:val="en-GB"/>
        </w:rPr>
      </w:pPr>
      <w:r w:rsidRPr="00DA78BF">
        <w:rPr>
          <w:lang w:val="en-GB"/>
        </w:rPr>
        <w:t>SecureM2MJwtClient (for SecureM2M)</w:t>
      </w:r>
    </w:p>
    <w:p w14:paraId="270D09BC" w14:textId="77777777" w:rsidR="00DA78BF" w:rsidRPr="00DA78BF" w:rsidRDefault="00DA78BF" w:rsidP="00DA78BF">
      <w:pPr>
        <w:numPr>
          <w:ilvl w:val="0"/>
          <w:numId w:val="3"/>
        </w:numPr>
        <w:rPr>
          <w:lang w:val="en-GB"/>
        </w:rPr>
      </w:pPr>
      <w:r w:rsidRPr="00DA78BF">
        <w:rPr>
          <w:lang w:val="en-GB"/>
        </w:rPr>
        <w:lastRenderedPageBreak/>
        <w:t>Automatically check the token cache before making external calls.</w:t>
      </w:r>
    </w:p>
    <w:p w14:paraId="3A3B2A3E" w14:textId="77777777" w:rsidR="00DA78BF" w:rsidRPr="00DA78BF" w:rsidRDefault="00DA78BF" w:rsidP="00DA78BF">
      <w:pPr>
        <w:rPr>
          <w:b/>
          <w:bCs/>
          <w:lang w:val="en-GB"/>
        </w:rPr>
      </w:pPr>
      <w:r w:rsidRPr="00DA78BF">
        <w:rPr>
          <w:b/>
          <w:bCs/>
          <w:lang w:val="en-GB"/>
        </w:rPr>
        <w:t>OAuth2JwtClient / SecureM2MJwtClient</w:t>
      </w:r>
    </w:p>
    <w:p w14:paraId="0AD0682A" w14:textId="77777777" w:rsidR="00DA78BF" w:rsidRPr="00DA78BF" w:rsidRDefault="00DA78BF" w:rsidP="00DA78BF">
      <w:pPr>
        <w:numPr>
          <w:ilvl w:val="0"/>
          <w:numId w:val="4"/>
        </w:numPr>
        <w:rPr>
          <w:lang w:val="en-GB"/>
        </w:rPr>
      </w:pPr>
      <w:r w:rsidRPr="00DA78BF">
        <w:rPr>
          <w:lang w:val="en-GB"/>
        </w:rPr>
        <w:t>Handle the actual HTTP requests to the authorization endpoints.</w:t>
      </w:r>
    </w:p>
    <w:p w14:paraId="7838CC5A" w14:textId="77777777" w:rsidR="00DA78BF" w:rsidRPr="00DA78BF" w:rsidRDefault="00DA78BF" w:rsidP="00DA78BF">
      <w:pPr>
        <w:numPr>
          <w:ilvl w:val="0"/>
          <w:numId w:val="4"/>
        </w:numPr>
        <w:rPr>
          <w:lang w:val="en-GB"/>
        </w:rPr>
      </w:pPr>
      <w:r w:rsidRPr="00DA78BF">
        <w:rPr>
          <w:lang w:val="en-GB"/>
        </w:rPr>
        <w:t>Encapsulate the protocol-specific logic for interacting with external systems.</w:t>
      </w:r>
    </w:p>
    <w:p w14:paraId="36048245" w14:textId="77777777" w:rsidR="00DA78BF" w:rsidRPr="00DA78BF" w:rsidRDefault="00DA78BF" w:rsidP="00DA78BF">
      <w:pPr>
        <w:rPr>
          <w:b/>
          <w:bCs/>
          <w:lang w:val="en-GB"/>
        </w:rPr>
      </w:pPr>
      <w:proofErr w:type="spellStart"/>
      <w:r w:rsidRPr="00DA78BF">
        <w:rPr>
          <w:b/>
          <w:bCs/>
          <w:lang w:val="en-GB"/>
        </w:rPr>
        <w:t>WFIService</w:t>
      </w:r>
      <w:proofErr w:type="spellEnd"/>
      <w:r w:rsidRPr="00DA78BF">
        <w:rPr>
          <w:b/>
          <w:bCs/>
          <w:lang w:val="en-GB"/>
        </w:rPr>
        <w:t xml:space="preserve"> and </w:t>
      </w:r>
      <w:proofErr w:type="spellStart"/>
      <w:r w:rsidRPr="00DA78BF">
        <w:rPr>
          <w:b/>
          <w:bCs/>
          <w:lang w:val="en-GB"/>
        </w:rPr>
        <w:t>FeatureFlagService</w:t>
      </w:r>
      <w:proofErr w:type="spellEnd"/>
    </w:p>
    <w:p w14:paraId="6606685B" w14:textId="77777777" w:rsidR="00DA78BF" w:rsidRPr="00DA78BF" w:rsidRDefault="00DA78BF" w:rsidP="00DA78BF">
      <w:pPr>
        <w:numPr>
          <w:ilvl w:val="0"/>
          <w:numId w:val="5"/>
        </w:numPr>
        <w:rPr>
          <w:lang w:val="en-GB"/>
        </w:rPr>
      </w:pPr>
      <w:r w:rsidRPr="00DA78BF">
        <w:rPr>
          <w:lang w:val="en-GB"/>
        </w:rPr>
        <w:t>Business-level services that require secure access to external APIs.</w:t>
      </w:r>
    </w:p>
    <w:p w14:paraId="1EDE5C5A" w14:textId="77777777" w:rsidR="00DA78BF" w:rsidRPr="00DA78BF" w:rsidRDefault="00DA78BF" w:rsidP="00DA78BF">
      <w:pPr>
        <w:numPr>
          <w:ilvl w:val="0"/>
          <w:numId w:val="5"/>
        </w:numPr>
        <w:rPr>
          <w:lang w:val="en-GB"/>
        </w:rPr>
      </w:pPr>
      <w:r w:rsidRPr="00DA78BF">
        <w:rPr>
          <w:lang w:val="en-GB"/>
        </w:rPr>
        <w:t>Use the appropriate authorization service to obtain tokens.</w:t>
      </w:r>
    </w:p>
    <w:p w14:paraId="5389B4BF" w14:textId="77777777" w:rsidR="00DA78BF" w:rsidRPr="00DA78BF" w:rsidRDefault="00DA78BF" w:rsidP="00DA78BF">
      <w:pPr>
        <w:numPr>
          <w:ilvl w:val="0"/>
          <w:numId w:val="5"/>
        </w:numPr>
        <w:rPr>
          <w:lang w:val="en-GB"/>
        </w:rPr>
      </w:pPr>
      <w:r w:rsidRPr="00DA78BF">
        <w:rPr>
          <w:lang w:val="en-GB"/>
        </w:rPr>
        <w:t>Do not manage token state, cache, or protocol logic themselves.</w:t>
      </w:r>
    </w:p>
    <w:p w14:paraId="64E7EB3C" w14:textId="77777777" w:rsidR="00DA78BF" w:rsidRPr="00DA78BF" w:rsidRDefault="00DA78BF" w:rsidP="00DA78BF">
      <w:pPr>
        <w:rPr>
          <w:b/>
          <w:bCs/>
          <w:lang w:val="en-GB"/>
        </w:rPr>
      </w:pPr>
      <w:proofErr w:type="spellStart"/>
      <w:r w:rsidRPr="00DA78BF">
        <w:rPr>
          <w:b/>
          <w:bCs/>
          <w:lang w:val="en-GB"/>
        </w:rPr>
        <w:t>WFIClient</w:t>
      </w:r>
      <w:proofErr w:type="spellEnd"/>
    </w:p>
    <w:p w14:paraId="3038538F" w14:textId="77777777" w:rsidR="00DA78BF" w:rsidRPr="00DA78BF" w:rsidRDefault="00DA78BF" w:rsidP="00DA78BF">
      <w:pPr>
        <w:numPr>
          <w:ilvl w:val="0"/>
          <w:numId w:val="6"/>
        </w:numPr>
        <w:rPr>
          <w:lang w:val="en-GB"/>
        </w:rPr>
      </w:pPr>
      <w:r w:rsidRPr="00DA78BF">
        <w:rPr>
          <w:lang w:val="en-GB"/>
        </w:rPr>
        <w:t xml:space="preserve">A generic client for dispatching authenticated HTTP calls to the Work Force Identity API or </w:t>
      </w:r>
      <w:proofErr w:type="spellStart"/>
      <w:r w:rsidRPr="00DA78BF">
        <w:rPr>
          <w:lang w:val="en-GB"/>
        </w:rPr>
        <w:t>FeatureFlag</w:t>
      </w:r>
      <w:proofErr w:type="spellEnd"/>
      <w:r w:rsidRPr="00DA78BF">
        <w:rPr>
          <w:lang w:val="en-GB"/>
        </w:rPr>
        <w:t xml:space="preserve"> API.</w:t>
      </w:r>
    </w:p>
    <w:p w14:paraId="7BEA6AF7" w14:textId="77777777" w:rsidR="00DA78BF" w:rsidRPr="00DA78BF" w:rsidRDefault="00DA78BF" w:rsidP="00DA78BF">
      <w:pPr>
        <w:numPr>
          <w:ilvl w:val="0"/>
          <w:numId w:val="6"/>
        </w:numPr>
        <w:rPr>
          <w:lang w:val="en-GB"/>
        </w:rPr>
      </w:pPr>
      <w:r w:rsidRPr="00DA78BF">
        <w:rPr>
          <w:lang w:val="en-GB"/>
        </w:rPr>
        <w:t>Receives tokens from the services and attaches them to outbound requests.</w:t>
      </w:r>
    </w:p>
    <w:p w14:paraId="6B1673A6" w14:textId="560E9450" w:rsidR="00DA78BF" w:rsidRPr="00DA78BF" w:rsidRDefault="00DA78BF" w:rsidP="00DA78BF">
      <w:pPr>
        <w:rPr>
          <w:b/>
          <w:bCs/>
          <w:lang w:val="en-GB"/>
        </w:rPr>
      </w:pPr>
      <w:r w:rsidRPr="00DA78BF">
        <w:rPr>
          <w:b/>
          <w:bCs/>
          <w:lang w:val="en-GB"/>
        </w:rPr>
        <w:t xml:space="preserve">Token Caching </w:t>
      </w:r>
      <w:r w:rsidR="001D7C1D" w:rsidRPr="00DA78BF">
        <w:rPr>
          <w:b/>
          <w:bCs/>
          <w:lang w:val="en-GB"/>
        </w:rPr>
        <w:t>Behaviour</w:t>
      </w:r>
    </w:p>
    <w:p w14:paraId="575F9320" w14:textId="77777777" w:rsidR="00DA78BF" w:rsidRPr="00DA78BF" w:rsidRDefault="00DA78BF" w:rsidP="00DA78BF">
      <w:pPr>
        <w:numPr>
          <w:ilvl w:val="0"/>
          <w:numId w:val="7"/>
        </w:numPr>
        <w:rPr>
          <w:lang w:val="en-GB"/>
        </w:rPr>
      </w:pPr>
      <w:r w:rsidRPr="00DA78BF">
        <w:rPr>
          <w:lang w:val="en-GB"/>
        </w:rPr>
        <w:t>Each token is cached based on its configuration.</w:t>
      </w:r>
    </w:p>
    <w:p w14:paraId="089C1B27" w14:textId="77777777" w:rsidR="00DA78BF" w:rsidRPr="00DA78BF" w:rsidRDefault="00DA78BF" w:rsidP="00DA78BF">
      <w:pPr>
        <w:numPr>
          <w:ilvl w:val="0"/>
          <w:numId w:val="7"/>
        </w:numPr>
        <w:rPr>
          <w:lang w:val="en-GB"/>
        </w:rPr>
      </w:pPr>
      <w:r w:rsidRPr="00DA78BF">
        <w:rPr>
          <w:lang w:val="en-GB"/>
        </w:rPr>
        <w:t>Expiration is checked before reuse; new tokens are fetched only when needed.</w:t>
      </w:r>
    </w:p>
    <w:p w14:paraId="67CA698D" w14:textId="77777777" w:rsidR="00DA78BF" w:rsidRPr="00DA78BF" w:rsidRDefault="00DA78BF" w:rsidP="00DA78BF">
      <w:pPr>
        <w:numPr>
          <w:ilvl w:val="0"/>
          <w:numId w:val="7"/>
        </w:numPr>
        <w:rPr>
          <w:lang w:val="en-GB"/>
        </w:rPr>
      </w:pPr>
      <w:r w:rsidRPr="00DA78BF">
        <w:rPr>
          <w:lang w:val="en-GB"/>
        </w:rPr>
        <w:t>This significantly reduces:</w:t>
      </w:r>
    </w:p>
    <w:p w14:paraId="5B4043E0" w14:textId="77777777" w:rsidR="00DA78BF" w:rsidRPr="00DA78BF" w:rsidRDefault="00DA78BF" w:rsidP="00DA78BF">
      <w:pPr>
        <w:numPr>
          <w:ilvl w:val="1"/>
          <w:numId w:val="7"/>
        </w:numPr>
        <w:rPr>
          <w:lang w:val="en-GB"/>
        </w:rPr>
      </w:pPr>
      <w:r w:rsidRPr="00DA78BF">
        <w:rPr>
          <w:lang w:val="en-GB"/>
        </w:rPr>
        <w:t>Repeated network calls to upstream token providers</w:t>
      </w:r>
    </w:p>
    <w:p w14:paraId="4B78D9AB" w14:textId="77777777" w:rsidR="00DA78BF" w:rsidRPr="00DA78BF" w:rsidRDefault="00DA78BF" w:rsidP="00DA78BF">
      <w:pPr>
        <w:numPr>
          <w:ilvl w:val="1"/>
          <w:numId w:val="7"/>
        </w:numPr>
        <w:rPr>
          <w:lang w:val="en-GB"/>
        </w:rPr>
      </w:pPr>
      <w:r w:rsidRPr="00DA78BF">
        <w:rPr>
          <w:lang w:val="en-GB"/>
        </w:rPr>
        <w:t>Latency in microservice-to-microservice communication</w:t>
      </w:r>
    </w:p>
    <w:p w14:paraId="7643412C" w14:textId="77777777" w:rsidR="00DA78BF" w:rsidRPr="00DA78BF" w:rsidRDefault="00DA78BF" w:rsidP="00DA78BF">
      <w:pPr>
        <w:numPr>
          <w:ilvl w:val="1"/>
          <w:numId w:val="7"/>
        </w:numPr>
        <w:rPr>
          <w:lang w:val="en-GB"/>
        </w:rPr>
      </w:pPr>
      <w:r w:rsidRPr="00DA78BF">
        <w:rPr>
          <w:lang w:val="en-GB"/>
        </w:rPr>
        <w:t>Load on external authentication systems</w:t>
      </w:r>
    </w:p>
    <w:p w14:paraId="0D281CD7" w14:textId="77777777" w:rsidR="00DA78BF" w:rsidRPr="00DA78BF" w:rsidRDefault="00DA78BF" w:rsidP="00DA78BF">
      <w:pPr>
        <w:rPr>
          <w:b/>
          <w:bCs/>
          <w:lang w:val="en-GB"/>
        </w:rPr>
      </w:pPr>
      <w:r w:rsidRPr="00DA78BF">
        <w:rPr>
          <w:b/>
          <w:bCs/>
          <w:lang w:val="en-GB"/>
        </w:rPr>
        <w:t>Benefits</w:t>
      </w:r>
    </w:p>
    <w:p w14:paraId="56E70E4A" w14:textId="77777777" w:rsidR="00DA78BF" w:rsidRPr="00DA78BF" w:rsidRDefault="00DA78BF" w:rsidP="00DA78BF">
      <w:pPr>
        <w:numPr>
          <w:ilvl w:val="0"/>
          <w:numId w:val="8"/>
        </w:numPr>
        <w:rPr>
          <w:lang w:val="en-GB"/>
        </w:rPr>
      </w:pPr>
      <w:r w:rsidRPr="00DA78BF">
        <w:rPr>
          <w:b/>
          <w:bCs/>
          <w:lang w:val="en-GB"/>
        </w:rPr>
        <w:t>Centralized Authorization Logic</w:t>
      </w:r>
      <w:r w:rsidRPr="00DA78BF">
        <w:rPr>
          <w:lang w:val="en-GB"/>
        </w:rPr>
        <w:t>: Eliminates duplicated and scattered token management code.</w:t>
      </w:r>
    </w:p>
    <w:p w14:paraId="791C10D6" w14:textId="77777777" w:rsidR="00DA78BF" w:rsidRPr="00DA78BF" w:rsidRDefault="00DA78BF" w:rsidP="00DA78BF">
      <w:pPr>
        <w:numPr>
          <w:ilvl w:val="0"/>
          <w:numId w:val="8"/>
        </w:numPr>
        <w:rPr>
          <w:lang w:val="en-GB"/>
        </w:rPr>
      </w:pPr>
      <w:r w:rsidRPr="00DA78BF">
        <w:rPr>
          <w:b/>
          <w:bCs/>
          <w:lang w:val="en-GB"/>
        </w:rPr>
        <w:t>Reusable and Extensible</w:t>
      </w:r>
      <w:r w:rsidRPr="00DA78BF">
        <w:rPr>
          <w:lang w:val="en-GB"/>
        </w:rPr>
        <w:t>: New token strategies can be introduced without modifying service logic.</w:t>
      </w:r>
    </w:p>
    <w:p w14:paraId="44BEC76C" w14:textId="77777777" w:rsidR="00DA78BF" w:rsidRPr="00DA78BF" w:rsidRDefault="00DA78BF" w:rsidP="00DA78BF">
      <w:pPr>
        <w:numPr>
          <w:ilvl w:val="0"/>
          <w:numId w:val="8"/>
        </w:numPr>
        <w:rPr>
          <w:lang w:val="en-GB"/>
        </w:rPr>
      </w:pPr>
      <w:r w:rsidRPr="00DA78BF">
        <w:rPr>
          <w:b/>
          <w:bCs/>
          <w:lang w:val="en-GB"/>
        </w:rPr>
        <w:t>Performance-Optimized</w:t>
      </w:r>
      <w:r w:rsidRPr="00DA78BF">
        <w:rPr>
          <w:lang w:val="en-GB"/>
        </w:rPr>
        <w:t>: Built-in caching reduces redundant token requests.</w:t>
      </w:r>
    </w:p>
    <w:p w14:paraId="65F54071" w14:textId="77777777" w:rsidR="00DA78BF" w:rsidRPr="00DA78BF" w:rsidRDefault="00DA78BF" w:rsidP="00DA78BF">
      <w:pPr>
        <w:numPr>
          <w:ilvl w:val="0"/>
          <w:numId w:val="8"/>
        </w:numPr>
        <w:rPr>
          <w:lang w:val="en-GB"/>
        </w:rPr>
      </w:pPr>
      <w:r w:rsidRPr="00DA78BF">
        <w:rPr>
          <w:b/>
          <w:bCs/>
          <w:lang w:val="en-GB"/>
        </w:rPr>
        <w:t>Cleaner Integration</w:t>
      </w:r>
      <w:r w:rsidRPr="00DA78BF">
        <w:rPr>
          <w:lang w:val="en-GB"/>
        </w:rPr>
        <w:t>: Services focus on their responsibilities without concern for authentication protocol details.</w:t>
      </w:r>
    </w:p>
    <w:p w14:paraId="0CB61076" w14:textId="77777777" w:rsidR="00DA78BF" w:rsidRPr="00DA78BF" w:rsidRDefault="00DA78BF" w:rsidP="00DA78BF">
      <w:pPr>
        <w:numPr>
          <w:ilvl w:val="0"/>
          <w:numId w:val="8"/>
        </w:numPr>
        <w:rPr>
          <w:lang w:val="en-GB"/>
        </w:rPr>
      </w:pPr>
      <w:r w:rsidRPr="00DA78BF">
        <w:rPr>
          <w:b/>
          <w:bCs/>
          <w:lang w:val="en-GB"/>
        </w:rPr>
        <w:t>Testable and Isolated</w:t>
      </w:r>
      <w:r w:rsidRPr="00DA78BF">
        <w:rPr>
          <w:lang w:val="en-GB"/>
        </w:rPr>
        <w:t>: Each component, including token expiration handling, can be tested independently.</w:t>
      </w:r>
    </w:p>
    <w:p w14:paraId="3FA23770" w14:textId="77777777" w:rsidR="00DA78BF" w:rsidRPr="00DA78BF" w:rsidRDefault="00DA78BF" w:rsidP="00DA78BF">
      <w:pPr>
        <w:numPr>
          <w:ilvl w:val="0"/>
          <w:numId w:val="8"/>
        </w:numPr>
        <w:rPr>
          <w:lang w:val="en-GB"/>
        </w:rPr>
      </w:pPr>
      <w:r w:rsidRPr="00DA78BF">
        <w:rPr>
          <w:b/>
          <w:bCs/>
          <w:lang w:val="en-GB"/>
        </w:rPr>
        <w:t>Consistency Across Projects</w:t>
      </w:r>
      <w:r w:rsidRPr="00DA78BF">
        <w:rPr>
          <w:lang w:val="en-GB"/>
        </w:rPr>
        <w:t>: Promotes unified practices for secure service communication throughout the organization.</w:t>
      </w:r>
    </w:p>
    <w:p w14:paraId="66A7D658" w14:textId="77777777" w:rsidR="0005320D" w:rsidRPr="00DA78BF" w:rsidRDefault="0005320D">
      <w:pPr>
        <w:rPr>
          <w:lang w:val="en-GB"/>
        </w:rPr>
      </w:pPr>
    </w:p>
    <w:sectPr w:rsidR="0005320D" w:rsidRPr="00DA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7E02"/>
    <w:multiLevelType w:val="multilevel"/>
    <w:tmpl w:val="E78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768A"/>
    <w:multiLevelType w:val="multilevel"/>
    <w:tmpl w:val="A3EC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F6AB9"/>
    <w:multiLevelType w:val="multilevel"/>
    <w:tmpl w:val="32D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D4EA5"/>
    <w:multiLevelType w:val="multilevel"/>
    <w:tmpl w:val="A6C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33676"/>
    <w:multiLevelType w:val="multilevel"/>
    <w:tmpl w:val="F45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C776D"/>
    <w:multiLevelType w:val="multilevel"/>
    <w:tmpl w:val="E5BC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D44E9"/>
    <w:multiLevelType w:val="multilevel"/>
    <w:tmpl w:val="B0F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909A6"/>
    <w:multiLevelType w:val="multilevel"/>
    <w:tmpl w:val="8C7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464115">
    <w:abstractNumId w:val="7"/>
  </w:num>
  <w:num w:numId="2" w16cid:durableId="70273990">
    <w:abstractNumId w:val="6"/>
  </w:num>
  <w:num w:numId="3" w16cid:durableId="1165362691">
    <w:abstractNumId w:val="1"/>
  </w:num>
  <w:num w:numId="4" w16cid:durableId="1777209614">
    <w:abstractNumId w:val="2"/>
  </w:num>
  <w:num w:numId="5" w16cid:durableId="1964798840">
    <w:abstractNumId w:val="4"/>
  </w:num>
  <w:num w:numId="6" w16cid:durableId="712001863">
    <w:abstractNumId w:val="0"/>
  </w:num>
  <w:num w:numId="7" w16cid:durableId="517742242">
    <w:abstractNumId w:val="5"/>
  </w:num>
  <w:num w:numId="8" w16cid:durableId="126638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8F"/>
    <w:rsid w:val="0005320D"/>
    <w:rsid w:val="001D7C1D"/>
    <w:rsid w:val="00434FD6"/>
    <w:rsid w:val="0052130C"/>
    <w:rsid w:val="00AC4BFF"/>
    <w:rsid w:val="00D67F8F"/>
    <w:rsid w:val="00DA78BF"/>
    <w:rsid w:val="00D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CBA94"/>
  <w15:chartTrackingRefBased/>
  <w15:docId w15:val="{138FBF04-0394-4CDC-8774-0100814B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8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8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8F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8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8F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8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8F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D67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8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8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D67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8F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D67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8F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D67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van Essen (1026751)</dc:creator>
  <cp:keywords/>
  <dc:description/>
  <cp:lastModifiedBy>Darius van Essen (1026751)</cp:lastModifiedBy>
  <cp:revision>3</cp:revision>
  <dcterms:created xsi:type="dcterms:W3CDTF">2025-06-06T17:13:00Z</dcterms:created>
  <dcterms:modified xsi:type="dcterms:W3CDTF">2025-06-06T17:18:00Z</dcterms:modified>
</cp:coreProperties>
</file>