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4B71" w14:textId="34C73530" w:rsidR="000D1125" w:rsidRDefault="00141D14">
      <w:pPr>
        <w:rPr>
          <w:sz w:val="28"/>
          <w:szCs w:val="28"/>
        </w:rPr>
      </w:pPr>
      <w:r w:rsidRPr="00141D14">
        <w:rPr>
          <w:sz w:val="28"/>
          <w:szCs w:val="28"/>
        </w:rPr>
        <w:t>Instrukcja do instalacji</w:t>
      </w:r>
    </w:p>
    <w:p w14:paraId="59503652" w14:textId="7540D75B" w:rsidR="00141D14" w:rsidRDefault="00141D14">
      <w:pPr>
        <w:rPr>
          <w:sz w:val="28"/>
          <w:szCs w:val="28"/>
        </w:rPr>
      </w:pPr>
    </w:p>
    <w:p w14:paraId="5392A9A8" w14:textId="08EA11FA" w:rsidR="00141D14" w:rsidRDefault="00141D14" w:rsidP="00141D1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uruchomienia projektu należy </w:t>
      </w:r>
      <w:proofErr w:type="spellStart"/>
      <w:r>
        <w:rPr>
          <w:sz w:val="24"/>
          <w:szCs w:val="24"/>
        </w:rPr>
        <w:t>klinknąć</w:t>
      </w:r>
      <w:proofErr w:type="spellEnd"/>
      <w:r>
        <w:rPr>
          <w:sz w:val="24"/>
          <w:szCs w:val="24"/>
        </w:rPr>
        <w:t xml:space="preserve"> w środowisku programistycznym plik Library.sln</w:t>
      </w:r>
    </w:p>
    <w:p w14:paraId="16C04AA3" w14:textId="3C40A57C" w:rsidR="00141D14" w:rsidRDefault="00141D14" w:rsidP="00141D1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Kolejnym krokiem jest zainicjalizowanie (wygenerowanie</w:t>
      </w:r>
      <w:r w:rsidR="000417CE">
        <w:rPr>
          <w:sz w:val="24"/>
          <w:szCs w:val="24"/>
        </w:rPr>
        <w:t>)</w:t>
      </w:r>
      <w:r>
        <w:rPr>
          <w:sz w:val="24"/>
          <w:szCs w:val="24"/>
        </w:rPr>
        <w:t xml:space="preserve"> bazy danych. W tym celu klikamy w Visual Studio na zakładkę Tools-&gt;</w:t>
      </w: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Manager-&gt;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Manager </w:t>
      </w:r>
      <w:proofErr w:type="spellStart"/>
      <w:r>
        <w:rPr>
          <w:sz w:val="24"/>
          <w:szCs w:val="24"/>
        </w:rPr>
        <w:t>Console</w:t>
      </w:r>
      <w:proofErr w:type="spellEnd"/>
      <w:r>
        <w:rPr>
          <w:sz w:val="24"/>
          <w:szCs w:val="24"/>
        </w:rPr>
        <w:t xml:space="preserve"> </w:t>
      </w:r>
      <w:r w:rsidR="000417CE">
        <w:rPr>
          <w:sz w:val="24"/>
          <w:szCs w:val="24"/>
        </w:rPr>
        <w:t>. Następnym krokiem na który należy zwrócić szczególną uwagę jest wybór projektu w powyższej konsoli jak na grafice poniżej.</w:t>
      </w:r>
    </w:p>
    <w:p w14:paraId="17195F97" w14:textId="3972EDF7" w:rsidR="000417CE" w:rsidRDefault="000417CE" w:rsidP="000417CE">
      <w:pPr>
        <w:pStyle w:val="Akapitzlist"/>
        <w:rPr>
          <w:sz w:val="24"/>
          <w:szCs w:val="24"/>
        </w:rPr>
      </w:pPr>
      <w:r w:rsidRPr="000417CE">
        <w:rPr>
          <w:sz w:val="24"/>
          <w:szCs w:val="24"/>
        </w:rPr>
        <w:drawing>
          <wp:inline distT="0" distB="0" distL="0" distR="0" wp14:anchorId="030AB3EC" wp14:editId="661B1EA1">
            <wp:extent cx="5760720" cy="421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F0A7" w14:textId="23B94B0D" w:rsidR="000417CE" w:rsidRDefault="000417CE" w:rsidP="000417CE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Wybieramy w </w:t>
      </w:r>
      <w:proofErr w:type="spellStart"/>
      <w:r>
        <w:rPr>
          <w:b/>
          <w:bCs/>
          <w:sz w:val="24"/>
          <w:szCs w:val="24"/>
        </w:rPr>
        <w:t>Default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project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Lubrary.DataAccess</w:t>
      </w:r>
      <w:proofErr w:type="spellEnd"/>
      <w:r w:rsidR="007B3F09">
        <w:rPr>
          <w:b/>
          <w:bCs/>
          <w:sz w:val="24"/>
          <w:szCs w:val="24"/>
        </w:rPr>
        <w:t xml:space="preserve"> i wpisujemy update-</w:t>
      </w:r>
      <w:proofErr w:type="spellStart"/>
      <w:r w:rsidR="007B3F09">
        <w:rPr>
          <w:b/>
          <w:bCs/>
          <w:sz w:val="24"/>
          <w:szCs w:val="24"/>
        </w:rPr>
        <w:t>database</w:t>
      </w:r>
      <w:proofErr w:type="spellEnd"/>
    </w:p>
    <w:p w14:paraId="4B8A3C0E" w14:textId="473A5478" w:rsidR="007B3F09" w:rsidRDefault="007B3F09" w:rsidP="000417CE">
      <w:pPr>
        <w:pStyle w:val="Akapitzlist"/>
        <w:rPr>
          <w:b/>
          <w:bCs/>
          <w:sz w:val="24"/>
          <w:szCs w:val="24"/>
        </w:rPr>
      </w:pPr>
    </w:p>
    <w:p w14:paraId="2207DCC3" w14:textId="27E3D1E7" w:rsidR="000417CE" w:rsidRDefault="000417CE" w:rsidP="000417C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Teraz już możemy uruchomić projekt klikając</w:t>
      </w:r>
      <w:r w:rsidR="005B58B5">
        <w:rPr>
          <w:sz w:val="24"/>
          <w:szCs w:val="24"/>
        </w:rPr>
        <w:t xml:space="preserve"> na zielony przycisk oznaczony IIS Express</w:t>
      </w:r>
      <w:r>
        <w:rPr>
          <w:sz w:val="24"/>
          <w:szCs w:val="24"/>
        </w:rPr>
        <w:t xml:space="preserve"> jak poniżej.</w:t>
      </w:r>
    </w:p>
    <w:p w14:paraId="6C698A3A" w14:textId="1456440E" w:rsidR="007B3F09" w:rsidRPr="000417CE" w:rsidRDefault="007B3F09" w:rsidP="007B3F09">
      <w:pPr>
        <w:pStyle w:val="Akapitzlist"/>
        <w:rPr>
          <w:sz w:val="24"/>
          <w:szCs w:val="24"/>
        </w:rPr>
      </w:pPr>
      <w:r w:rsidRPr="007B3F09">
        <w:rPr>
          <w:sz w:val="24"/>
          <w:szCs w:val="24"/>
        </w:rPr>
        <w:drawing>
          <wp:inline distT="0" distB="0" distL="0" distR="0" wp14:anchorId="4C7D9996" wp14:editId="115D3182">
            <wp:extent cx="5760720" cy="189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04EC" w14:textId="4616C340" w:rsidR="000417CE" w:rsidRDefault="000417CE" w:rsidP="000417CE">
      <w:pPr>
        <w:pStyle w:val="Akapitzlist"/>
        <w:rPr>
          <w:b/>
          <w:bCs/>
          <w:sz w:val="24"/>
          <w:szCs w:val="24"/>
        </w:rPr>
      </w:pPr>
    </w:p>
    <w:p w14:paraId="724D4F48" w14:textId="1CEE800F" w:rsidR="000417CE" w:rsidRPr="000417CE" w:rsidRDefault="000417CE" w:rsidP="000417CE">
      <w:pPr>
        <w:pStyle w:val="Akapitzlist"/>
        <w:rPr>
          <w:sz w:val="24"/>
          <w:szCs w:val="24"/>
        </w:rPr>
      </w:pPr>
    </w:p>
    <w:p w14:paraId="23EE302D" w14:textId="3364EE1A" w:rsidR="000417CE" w:rsidRPr="000417CE" w:rsidRDefault="000417CE" w:rsidP="000417CE">
      <w:pPr>
        <w:pStyle w:val="Akapitzlist"/>
        <w:rPr>
          <w:sz w:val="24"/>
          <w:szCs w:val="24"/>
        </w:rPr>
      </w:pPr>
    </w:p>
    <w:sectPr w:rsidR="000417CE" w:rsidRPr="00041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C35AC"/>
    <w:multiLevelType w:val="hybridMultilevel"/>
    <w:tmpl w:val="099604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3D"/>
    <w:rsid w:val="000417CE"/>
    <w:rsid w:val="000D1125"/>
    <w:rsid w:val="00141D14"/>
    <w:rsid w:val="005B58B5"/>
    <w:rsid w:val="007B3F09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82F8"/>
  <w15:chartTrackingRefBased/>
  <w15:docId w15:val="{2F3DAF9E-FDEE-4E49-B59C-0009A87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Kitel</dc:creator>
  <cp:keywords/>
  <dc:description/>
  <cp:lastModifiedBy>Dariusz Kitel</cp:lastModifiedBy>
  <cp:revision>8</cp:revision>
  <dcterms:created xsi:type="dcterms:W3CDTF">2020-11-20T08:34:00Z</dcterms:created>
  <dcterms:modified xsi:type="dcterms:W3CDTF">2020-11-20T08:53:00Z</dcterms:modified>
</cp:coreProperties>
</file>