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b/>
          <w:color w:val="1A5276"/>
          <w:sz w:val="44"/>
        </w:rPr>
        <w:t>TÀI LIỆU ĐẶC TẢ YÊU CẦU PHẦN MỀM (SRS)</w:t>
      </w:r>
    </w:p>
    <w:p>
      <w:pPr>
        <w:spacing w:after="480"/>
        <w:jc w:val="center"/>
      </w:pPr>
      <w:r>
        <w:rPr>
          <w:i/>
          <w:color w:val="7F8C8D"/>
          <w:sz w:val="28"/>
        </w:rPr>
        <w:t>Hệ thống DAS OBM — Phân hệ Điều hành Kinh doanh</w:t>
        <w:br/>
        <w:t>Module: Báo cáo Tổng quan (Dashboard) v2.0</w:t>
      </w:r>
    </w:p>
    <w:tbl>
      <w:tblPr>
        <w:tblStyle w:val="TableGrid"/>
        <w:tblW w:type="auto" w:w="0"/>
        <w:tblLook w:firstColumn="1" w:firstRow="1" w:lastColumn="0" w:lastRow="0" w:noHBand="0" w:noVBand="1" w:val="04A0"/>
      </w:tblPr>
      <w:tblGrid>
        <w:gridCol w:w="4680"/>
        <w:gridCol w:w="4680"/>
      </w:tblGrid>
      <w:tr>
        <w:tc>
          <w:tcPr>
            <w:tcW w:type="dxa" w:w="4680"/>
            <w:shd w:fill="F2F4F4"/>
            <w:tcMar>
              <w:top w:w="100" w:type="dxa"/>
              <w:bottom w:w="100" w:type="dxa"/>
              <w:left w:w="150" w:type="dxa"/>
              <w:right w:w="150" w:type="dxa"/>
            </w:tcMar>
          </w:tcPr>
          <w:p>
            <w:r>
              <w:rPr>
                <w:b/>
              </w:rPr>
              <w:t>Dự án / Hệ thống</w:t>
            </w:r>
          </w:p>
        </w:tc>
        <w:tc>
          <w:tcPr>
            <w:tcW w:type="dxa" w:w="4680"/>
            <w:tcMar>
              <w:top w:w="100" w:type="dxa"/>
              <w:bottom w:w="100" w:type="dxa"/>
              <w:left w:w="150" w:type="dxa"/>
              <w:right w:w="150" w:type="dxa"/>
            </w:tcMar>
          </w:tcPr>
          <w:p>
            <w:r>
              <w:t>DAS OBM (Quản trị &amp; Điều hành Kinh doanh)</w:t>
            </w:r>
          </w:p>
        </w:tc>
      </w:tr>
      <w:tr>
        <w:tc>
          <w:tcPr>
            <w:tcW w:type="dxa" w:w="4680"/>
            <w:shd w:fill="F2F4F4"/>
            <w:tcMar>
              <w:top w:w="100" w:type="dxa"/>
              <w:bottom w:w="100" w:type="dxa"/>
              <w:left w:w="150" w:type="dxa"/>
              <w:right w:w="150" w:type="dxa"/>
            </w:tcMar>
          </w:tcPr>
          <w:p>
            <w:r>
              <w:rPr>
                <w:b/>
              </w:rPr>
              <w:t>Phiên bản tài liệu</w:t>
            </w:r>
          </w:p>
        </w:tc>
        <w:tc>
          <w:tcPr>
            <w:tcW w:type="dxa" w:w="4680"/>
            <w:tcMar>
              <w:top w:w="100" w:type="dxa"/>
              <w:bottom w:w="100" w:type="dxa"/>
              <w:left w:w="150" w:type="dxa"/>
              <w:right w:w="150" w:type="dxa"/>
            </w:tcMar>
          </w:tcPr>
          <w:p>
            <w:r>
              <w:t>v2.0.0 (Bổ sung Đặc tả API Response)</w:t>
            </w:r>
          </w:p>
        </w:tc>
      </w:tr>
      <w:tr>
        <w:tc>
          <w:tcPr>
            <w:tcW w:type="dxa" w:w="4680"/>
            <w:shd w:fill="F2F4F4"/>
            <w:tcMar>
              <w:top w:w="100" w:type="dxa"/>
              <w:bottom w:w="100" w:type="dxa"/>
              <w:left w:w="150" w:type="dxa"/>
              <w:right w:w="150" w:type="dxa"/>
            </w:tcMar>
          </w:tcPr>
          <w:p>
            <w:r>
              <w:rPr>
                <w:b/>
              </w:rPr>
              <w:t>Ngày cập nhật</w:t>
            </w:r>
          </w:p>
        </w:tc>
        <w:tc>
          <w:tcPr>
            <w:tcW w:type="dxa" w:w="4680"/>
            <w:tcMar>
              <w:top w:w="100" w:type="dxa"/>
              <w:bottom w:w="100" w:type="dxa"/>
              <w:left w:w="150" w:type="dxa"/>
              <w:right w:w="150" w:type="dxa"/>
            </w:tcMar>
          </w:tcPr>
          <w:p>
            <w:r>
              <w:t>25/06/2026</w:t>
            </w:r>
          </w:p>
        </w:tc>
      </w:tr>
      <w:tr>
        <w:tc>
          <w:tcPr>
            <w:tcW w:type="dxa" w:w="4680"/>
            <w:shd w:fill="F2F4F4"/>
            <w:tcMar>
              <w:top w:w="100" w:type="dxa"/>
              <w:bottom w:w="100" w:type="dxa"/>
              <w:left w:w="150" w:type="dxa"/>
              <w:right w:w="150" w:type="dxa"/>
            </w:tcMar>
          </w:tcPr>
          <w:p>
            <w:r>
              <w:rPr>
                <w:b/>
              </w:rPr>
              <w:t>Trạng thái</w:t>
            </w:r>
          </w:p>
        </w:tc>
        <w:tc>
          <w:tcPr>
            <w:tcW w:type="dxa" w:w="4680"/>
            <w:tcMar>
              <w:top w:w="100" w:type="dxa"/>
              <w:bottom w:w="100" w:type="dxa"/>
              <w:left w:w="150" w:type="dxa"/>
              <w:right w:w="150" w:type="dxa"/>
            </w:tcMar>
          </w:tcPr>
          <w:p>
            <w:r>
              <w:t>Đã phê duyệt (Approved)</w:t>
            </w:r>
          </w:p>
        </w:tc>
      </w:tr>
    </w:tbl>
    <w:p>
      <w:r>
        <w:br w:type="page"/>
      </w:r>
    </w:p>
    <w:p>
      <w:pPr>
        <w:pStyle w:val="Heading1"/>
        <w:keepNext/>
        <w:spacing w:before="240" w:after="120"/>
      </w:pPr>
      <w:r>
        <w:rPr>
          <w:rFonts w:ascii="Arial" w:hAnsi="Arial"/>
          <w:b/>
          <w:color w:val="1A5276"/>
          <w:sz w:val="32"/>
        </w:rPr>
        <w:t>1. GIỚI THIỆU TỔNG QUAN (INTRODUCTION)</w:t>
      </w:r>
    </w:p>
    <w:p>
      <w:r>
        <w:t xml:space="preserve">Mục đích của tài liệu này nhằm cung cấp bản đặc tả chi tiết các yêu cầu chức năng, phi chức năng, luồng dữ liệu, thiết kế giao diện và cấu trúc dữ liệu API Response mẫu cho màn hình </w:t>
      </w:r>
      <w:r>
        <w:rPr>
          <w:b/>
        </w:rPr>
        <w:t xml:space="preserve">Báo cáo Tổng quan (Dashboard) </w:t>
      </w:r>
      <w:r>
        <w:t>thuộc hệ thống DAS OBM.</w:t>
      </w:r>
    </w:p>
    <w:p>
      <w:pPr>
        <w:pStyle w:val="Heading2"/>
        <w:keepNext/>
        <w:spacing w:before="240" w:after="120"/>
      </w:pPr>
      <w:r>
        <w:rPr>
          <w:rFonts w:ascii="Arial" w:hAnsi="Arial"/>
          <w:b/>
          <w:color w:val="1F618D"/>
          <w:sz w:val="26"/>
        </w:rPr>
        <w:t>1.1 Phạm vi hệ thống (Scope)</w:t>
      </w:r>
    </w:p>
    <w:p>
      <w:r>
        <w:t>Màn hình Dashboard đóng vai trò trung tâm chỉ huy số liệu, tổng hợp dữ liệu từ nhiều phân hệ kinh doanh để cung cấp cái nhìn toàn diện cho cấp Quản lý/Lãnh đạo.</w:t>
      </w:r>
    </w:p>
    <w:p>
      <w:pPr>
        <w:pStyle w:val="Heading2"/>
        <w:keepNext/>
        <w:spacing w:before="240" w:after="120"/>
      </w:pPr>
      <w:r>
        <w:rPr>
          <w:rFonts w:ascii="Arial" w:hAnsi="Arial"/>
          <w:b/>
          <w:color w:val="1F618D"/>
          <w:sz w:val="26"/>
        </w:rPr>
        <w:t>1.2 Thuật ngữ và Từ viết tắt (Glossary)</w:t>
      </w:r>
    </w:p>
    <w:tbl>
      <w:tblPr>
        <w:tblStyle w:val="TableGrid"/>
        <w:tblW w:type="auto" w:w="0"/>
        <w:tblLook w:firstColumn="1" w:firstRow="1" w:lastColumn="0" w:lastRow="0" w:noHBand="0" w:noVBand="1" w:val="04A0"/>
      </w:tblPr>
      <w:tblGrid>
        <w:gridCol w:w="4680"/>
        <w:gridCol w:w="4680"/>
      </w:tblGrid>
      <w:tr>
        <w:tc>
          <w:tcPr>
            <w:tcW w:type="dxa" w:w="4680"/>
            <w:tcMar>
              <w:top w:w="100" w:type="dxa"/>
              <w:bottom w:w="100" w:type="dxa"/>
              <w:left w:w="150" w:type="dxa"/>
              <w:right w:w="150" w:type="dxa"/>
            </w:tcMar>
          </w:tcPr>
          <w:p>
            <w:r>
              <w:t>Thuật ngữ / Ký hiệu</w:t>
            </w:r>
          </w:p>
        </w:tc>
        <w:tc>
          <w:tcPr>
            <w:tcW w:type="dxa" w:w="4680"/>
            <w:tcMar>
              <w:top w:w="100" w:type="dxa"/>
              <w:bottom w:w="100" w:type="dxa"/>
              <w:left w:w="150" w:type="dxa"/>
              <w:right w:w="150" w:type="dxa"/>
            </w:tcMar>
          </w:tcPr>
          <w:p>
            <w:r>
              <w:t>Định nghĩa / Giải nghĩa</w:t>
            </w:r>
          </w:p>
        </w:tc>
      </w:tr>
      <w:tr>
        <w:tc>
          <w:tcPr>
            <w:tcW w:type="dxa" w:w="4680"/>
            <w:tcMar>
              <w:top w:w="100" w:type="dxa"/>
              <w:bottom w:w="100" w:type="dxa"/>
              <w:left w:w="150" w:type="dxa"/>
              <w:right w:w="150" w:type="dxa"/>
            </w:tcMar>
          </w:tcPr>
          <w:p>
            <w:r>
              <w:t>OBM</w:t>
            </w:r>
          </w:p>
        </w:tc>
        <w:tc>
          <w:tcPr>
            <w:tcW w:type="dxa" w:w="4680"/>
            <w:tcMar>
              <w:top w:w="100" w:type="dxa"/>
              <w:bottom w:w="100" w:type="dxa"/>
              <w:left w:w="150" w:type="dxa"/>
              <w:right w:w="150" w:type="dxa"/>
            </w:tcMar>
          </w:tcPr>
          <w:p>
            <w:r>
              <w:t>Operation &amp; Business Management (Quản trị &amp; Điều hành Kinh doanh)</w:t>
            </w:r>
          </w:p>
        </w:tc>
      </w:tr>
      <w:tr>
        <w:tc>
          <w:tcPr>
            <w:tcW w:type="dxa" w:w="4680"/>
            <w:tcMar>
              <w:top w:w="100" w:type="dxa"/>
              <w:bottom w:w="100" w:type="dxa"/>
              <w:left w:w="150" w:type="dxa"/>
              <w:right w:w="150" w:type="dxa"/>
            </w:tcMar>
          </w:tcPr>
          <w:p>
            <w:r>
              <w:t>Line / Dept</w:t>
            </w:r>
          </w:p>
        </w:tc>
        <w:tc>
          <w:tcPr>
            <w:tcW w:type="dxa" w:w="4680"/>
            <w:tcMar>
              <w:top w:w="100" w:type="dxa"/>
              <w:bottom w:w="100" w:type="dxa"/>
              <w:left w:w="150" w:type="dxa"/>
              <w:right w:w="150" w:type="dxa"/>
            </w:tcMar>
          </w:tcPr>
          <w:p>
            <w:r>
              <w:t>Đơn vị kinh doanh / Phòng ban chuyên môn trực thuộc</w:t>
            </w:r>
          </w:p>
        </w:tc>
      </w:tr>
      <w:tr>
        <w:tc>
          <w:tcPr>
            <w:tcW w:type="dxa" w:w="4680"/>
            <w:tcMar>
              <w:top w:w="100" w:type="dxa"/>
              <w:bottom w:w="100" w:type="dxa"/>
              <w:left w:w="150" w:type="dxa"/>
              <w:right w:w="150" w:type="dxa"/>
            </w:tcMar>
          </w:tcPr>
          <w:p>
            <w:r>
              <w:t>CR</w:t>
            </w:r>
          </w:p>
        </w:tc>
        <w:tc>
          <w:tcPr>
            <w:tcW w:type="dxa" w:w="4680"/>
            <w:tcMar>
              <w:top w:w="100" w:type="dxa"/>
              <w:bottom w:w="100" w:type="dxa"/>
              <w:left w:w="150" w:type="dxa"/>
              <w:right w:w="150" w:type="dxa"/>
            </w:tcMar>
          </w:tcPr>
          <w:p>
            <w:r>
              <w:t>Change Request (Yêu cầu thay đổi / Phát sinh ngoài hợp đồng gốc)</w:t>
            </w:r>
          </w:p>
        </w:tc>
      </w:tr>
    </w:tbl>
    <w:p>
      <w:pPr>
        <w:pStyle w:val="Heading1"/>
        <w:keepNext/>
        <w:spacing w:before="240" w:after="120"/>
      </w:pPr>
      <w:r>
        <w:rPr>
          <w:rFonts w:ascii="Arial" w:hAnsi="Arial"/>
          <w:b/>
          <w:color w:val="1A5276"/>
          <w:sz w:val="32"/>
        </w:rPr>
        <w:t>2. ĐẶC TẢ CHI TIẾT CHỨC NĂNG (FUNCTIONAL REQUIREMENTS)</w:t>
      </w:r>
    </w:p>
    <w:p>
      <w:pPr>
        <w:pStyle w:val="Heading2"/>
        <w:keepNext/>
        <w:spacing w:before="240" w:after="120"/>
      </w:pPr>
      <w:r>
        <w:rPr>
          <w:rFonts w:ascii="Arial" w:hAnsi="Arial"/>
          <w:b/>
          <w:color w:val="1F618D"/>
          <w:sz w:val="26"/>
        </w:rPr>
        <w:t>2.1 Thành phần Bộ lọc Dữ liệu (FR-01: Filter Component)</w:t>
      </w:r>
    </w:p>
    <w:p>
      <w:r>
        <w:t>Bộ lọc cho phép khoanh vùng dữ liệu hiển thị động. Danh mục được lấy từ API getDashboardFilter.</w:t>
      </w:r>
    </w:p>
    <w:p>
      <w:pPr>
        <w:pStyle w:val="Heading2"/>
        <w:keepNext/>
        <w:spacing w:before="240" w:after="120"/>
      </w:pPr>
      <w:r>
        <w:rPr>
          <w:rFonts w:ascii="Arial" w:hAnsi="Arial"/>
          <w:b/>
          <w:color w:val="1F618D"/>
          <w:sz w:val="26"/>
        </w:rPr>
        <w:t>2.2 Khối Thẻ Chỉ số KPI (FR-02: KPI Performance Cards)</w:t>
      </w:r>
    </w:p>
    <w:p>
      <w:r>
        <w:t>Hiển thị tóm tắt trực quan các chỉ số tài chính cốt lõi từ DashboardController.</w:t>
      </w:r>
    </w:p>
    <w:p>
      <w:pPr>
        <w:pStyle w:val="Heading2"/>
        <w:keepNext/>
        <w:spacing w:before="240" w:after="120"/>
      </w:pPr>
      <w:r>
        <w:rPr>
          <w:rFonts w:ascii="Arial" w:hAnsi="Arial"/>
          <w:b/>
          <w:color w:val="1F618D"/>
          <w:sz w:val="26"/>
        </w:rPr>
        <w:t>2.3 Biểu đồ Xu hướng Doanh thu (FR-03: Revenue Trend Chart)</w:t>
      </w:r>
    </w:p>
    <w:p>
      <w:r>
        <w:t>Biểu đồ cột dọc biểu diễn mảng revenueByMonth từ T1 đến T12.</w:t>
      </w:r>
    </w:p>
    <w:p>
      <w:pPr>
        <w:pStyle w:val="Heading1"/>
        <w:keepNext/>
        <w:spacing w:before="240" w:after="120"/>
      </w:pPr>
      <w:r>
        <w:rPr>
          <w:rFonts w:ascii="Arial" w:hAnsi="Arial"/>
          <w:b/>
          <w:color w:val="1A5276"/>
          <w:sz w:val="32"/>
        </w:rPr>
        <w:t>3. YÊU CẦU PHI CHỨC NĂNG (NON-FUNCTIONAL REQUIREMENTS)</w:t>
      </w:r>
    </w:p>
    <w:p>
      <w:pPr>
        <w:pStyle w:val="Heading2"/>
        <w:keepNext/>
        <w:spacing w:before="240" w:after="120"/>
      </w:pPr>
      <w:r>
        <w:rPr>
          <w:rFonts w:ascii="Arial" w:hAnsi="Arial"/>
          <w:b/>
          <w:color w:val="1F618D"/>
          <w:sz w:val="26"/>
        </w:rPr>
        <w:t>3.1 Hiệu năng &amp; Trải nghiệm</w:t>
      </w:r>
    </w:p>
    <w:p>
      <w:r>
        <w:t>- Thời gian phản hồi API dưới 3000ms.</w:t>
        <w:br/>
        <w:t>- Áp dụng cơ chế Skeleton Loader và Cache dữ liệu 5 phút.</w:t>
      </w:r>
    </w:p>
    <w:p>
      <w:pPr>
        <w:pStyle w:val="Heading1"/>
        <w:keepNext/>
        <w:spacing w:before="240" w:after="120"/>
      </w:pPr>
      <w:r>
        <w:rPr>
          <w:rFonts w:ascii="Arial" w:hAnsi="Arial"/>
          <w:b/>
          <w:color w:val="1A5276"/>
          <w:sz w:val="32"/>
        </w:rPr>
        <w:t>4. ĐẶC TẢ CHI TIẾT API &amp; CẤU TRÚC RESPONSE JSON (API SPECIFICATIONS)</w:t>
      </w:r>
    </w:p>
    <w:p>
      <w:r>
        <w:t>Phần này cung cấp cấu trúc chi tiết của các API cung cấp dữ liệu cho Dashboard, làm cơ sở kết nối hệ thống giữa đội ngũ Back-end và Front-end.</w:t>
      </w:r>
    </w:p>
    <w:p>
      <w:pPr>
        <w:pStyle w:val="Heading2"/>
        <w:keepNext/>
        <w:spacing w:before="240" w:after="120"/>
      </w:pPr>
      <w:r>
        <w:rPr>
          <w:rFonts w:ascii="Arial" w:hAnsi="Arial"/>
          <w:b/>
          <w:color w:val="1F618D"/>
          <w:sz w:val="26"/>
        </w:rPr>
        <w:t>4.1 API Lấy Danh mục Bộ lọc (getDashboardFilter)</w:t>
      </w:r>
    </w:p>
    <w:p>
      <w:r>
        <w:rPr>
          <w:b/>
        </w:rPr>
        <w:t xml:space="preserve">• Chức năng: </w:t>
      </w:r>
      <w:r>
        <w:t>Trả về danh sách các Line (Đơn vị), Dept (Phòng ban), và Product (Sản phẩm) hoạt động trong hệ thống để render lên dropdown bộ lọc.</w:t>
        <w:br/>
      </w:r>
      <w:r>
        <w:rPr>
          <w:b/>
        </w:rPr>
        <w:t xml:space="preserve">• Định dạng dữ liệu: </w:t>
      </w:r>
      <w:r>
        <w:t>JSON Object.</w:t>
      </w:r>
    </w:p>
    <w:p>
      <w:pPr>
        <w:pStyle w:val="Heading3"/>
        <w:keepNext/>
        <w:spacing w:before="240" w:after="120"/>
      </w:pPr>
      <w:r>
        <w:rPr>
          <w:rFonts w:ascii="Arial" w:hAnsi="Arial"/>
          <w:b/>
          <w:i/>
          <w:color w:val="2E4057"/>
          <w:sz w:val="23"/>
        </w:rPr>
        <w:t>Cấu trúc dữ liệu Response thực tế:</w:t>
      </w:r>
    </w:p>
    <w:p>
      <w:pPr>
        <w:spacing w:before="80" w:after="80"/>
        <w:ind w:left="360"/>
      </w:pPr>
      <w:r>
        <w:rPr>
          <w:rFonts w:ascii="Courier New" w:hAnsi="Courier New"/>
          <w:color w:val="333333"/>
          <w:sz w:val="19"/>
        </w:rPr>
        <w:t>{</w:t>
        <w:br/>
        <w:t xml:space="preserve">    "lines": [</w:t>
        <w:br/>
        <w:t xml:space="preserve">        {</w:t>
        <w:br/>
        <w:t xml:space="preserve">            "id": 8,</w:t>
        <w:br/>
        <w:t xml:space="preserve">            "name": "Ban Kinh doanh giải pháp",</w:t>
        <w:br/>
        <w:t xml:space="preserve">            "parentId": null</w:t>
        <w:br/>
        <w:t xml:space="preserve">        },</w:t>
        <w:br/>
        <w:t xml:space="preserve">        {</w:t>
        <w:br/>
        <w:t xml:space="preserve">            "id": 5,</w:t>
        <w:br/>
        <w:t xml:space="preserve">            "name": "Trung tâm giải pháp hành chính số",</w:t>
        <w:br/>
        <w:t xml:space="preserve">            "parentId": null</w:t>
        <w:br/>
        <w:t xml:space="preserve">        }</w:t>
        <w:br/>
        <w:t xml:space="preserve">    ],</w:t>
        <w:br/>
        <w:t xml:space="preserve">    "depts": [</w:t>
        <w:br/>
        <w:t xml:space="preserve">        {</w:t>
        <w:br/>
        <w:t xml:space="preserve">            "id": 9,</w:t>
        <w:br/>
        <w:t xml:space="preserve">            "name": "Trung tâm kinh doanh chính phủ",</w:t>
        <w:br/>
        <w:t xml:space="preserve">            "parentId": 8</w:t>
        <w:br/>
        <w:t xml:space="preserve">        },</w:t>
        <w:br/>
        <w:t xml:space="preserve">        {</w:t>
        <w:br/>
        <w:t xml:space="preserve">            "id": 4,</w:t>
        <w:br/>
        <w:t xml:space="preserve">            "name": "Line Công chức viên chức",</w:t>
        <w:br/>
        <w:t xml:space="preserve">            "parentId": 5</w:t>
        <w:br/>
        <w:t xml:space="preserve">        },</w:t>
        <w:br/>
        <w:t xml:space="preserve">        {</w:t>
        <w:br/>
        <w:t xml:space="preserve">            "id": 3,</w:t>
        <w:br/>
        <w:t xml:space="preserve">            "name": "Line Người dân chính quyền",</w:t>
        <w:br/>
        <w:t xml:space="preserve">            "parentId": 5</w:t>
        <w:br/>
        <w:t xml:space="preserve">        },</w:t>
        <w:br/>
        <w:t xml:space="preserve">        {</w:t>
        <w:br/>
        <w:t xml:space="preserve">            "id": 1,</w:t>
        <w:br/>
        <w:t xml:space="preserve">            "name": "Line Văn phòng số",</w:t>
        <w:br/>
        <w:t xml:space="preserve">            "parentId": 5</w:t>
        <w:br/>
        <w:t xml:space="preserve">        },</w:t>
        <w:br/>
        <w:t xml:space="preserve">        {</w:t>
        <w:br/>
        <w:t xml:space="preserve">            "id": 2,</w:t>
        <w:br/>
        <w:t xml:space="preserve">            "name": "Phòng Dự án",</w:t>
        <w:br/>
        <w:t xml:space="preserve">            "parentId": 5</w:t>
        <w:br/>
        <w:t xml:space="preserve">        }</w:t>
        <w:br/>
        <w:t xml:space="preserve">    ],</w:t>
        <w:br/>
        <w:t xml:space="preserve">    "products": [</w:t>
        <w:br/>
        <w:t xml:space="preserve">        {</w:t>
        <w:br/>
        <w:t xml:space="preserve">            "id": 9,</w:t>
        <w:br/>
        <w:t xml:space="preserve">            "name": "Chứng thực điện tử",</w:t>
        <w:br/>
        <w:t xml:space="preserve">            "lineName": "Line Văn phòng số"</w:t>
        <w:br/>
        <w:t xml:space="preserve">        },</w:t>
        <w:br/>
        <w:t xml:space="preserve">        {</w:t>
        <w:br/>
        <w:t xml:space="preserve">            "id": 4,</w:t>
        <w:br/>
        <w:t xml:space="preserve">            "name": "Hệ thống Công chức viên chức 3.0",</w:t>
        <w:br/>
        <w:t xml:space="preserve">            "lineName": "Line Công chức viên chức"</w:t>
        <w:br/>
        <w:t xml:space="preserve">        },</w:t>
        <w:br/>
        <w:t xml:space="preserve">        {</w:t>
        <w:br/>
        <w:t xml:space="preserve">            "id": 6,</w:t>
        <w:br/>
        <w:t xml:space="preserve">            "name": "Hệ thống Giải quyết TTHC của Đảng",</w:t>
        <w:br/>
        <w:t xml:space="preserve">            "lineName": "Phòng Dự án"</w:t>
        <w:br/>
        <w:t xml:space="preserve">        },</w:t>
        <w:br/>
        <w:t xml:space="preserve">        {</w:t>
        <w:br/>
        <w:t xml:space="preserve">            "id": 5,</w:t>
        <w:br/>
        <w:t xml:space="preserve">            "name": "Hệ thống Igate 3.0",</w:t>
        <w:br/>
        <w:t xml:space="preserve">            "lineName": "Line Người dân chính quyền"</w:t>
        <w:br/>
        <w:t xml:space="preserve">        }</w:t>
        <w:br/>
        <w:t xml:space="preserve">    ]</w:t>
        <w:br/>
        <w:t>}</w:t>
      </w:r>
    </w:p>
    <w:p>
      <w:pPr>
        <w:pStyle w:val="Heading2"/>
        <w:keepNext/>
        <w:spacing w:before="240" w:after="120"/>
      </w:pPr>
      <w:r>
        <w:rPr>
          <w:rFonts w:ascii="Arial" w:hAnsi="Arial"/>
          <w:b/>
          <w:color w:val="1F618D"/>
          <w:sz w:val="26"/>
        </w:rPr>
        <w:t>4.2 API Lấy Chỉ số Tổng quan &amp; Biểu đồ (DashboardController)</w:t>
      </w:r>
    </w:p>
    <w:p>
      <w:r>
        <w:rPr>
          <w:b/>
        </w:rPr>
        <w:t xml:space="preserve">• Chức năng: </w:t>
      </w:r>
      <w:r>
        <w:t>Cung cấp toàn bộ các số liệu tổng hợp KPI, mảng dữ liệu biểu đồ xu hướng doanh thu theo tháng, danh sách phân bổ tải công việc (workload), danh sách rủi ro và các dự án trọng điểm.</w:t>
        <w:br/>
      </w:r>
      <w:r>
        <w:rPr>
          <w:b/>
        </w:rPr>
        <w:t xml:space="preserve">• Định dạng dữ liệu: </w:t>
      </w:r>
      <w:r>
        <w:t>JSON Object.</w:t>
      </w:r>
    </w:p>
    <w:p>
      <w:pPr>
        <w:pStyle w:val="Heading3"/>
        <w:keepNext/>
        <w:spacing w:before="240" w:after="120"/>
      </w:pPr>
      <w:r>
        <w:rPr>
          <w:rFonts w:ascii="Arial" w:hAnsi="Arial"/>
          <w:b/>
          <w:i/>
          <w:color w:val="2E4057"/>
          <w:sz w:val="23"/>
        </w:rPr>
        <w:t>Cấu trúc dữ liệu Response thực tế:</w:t>
      </w:r>
    </w:p>
    <w:p>
      <w:pPr>
        <w:spacing w:before="80" w:after="80"/>
        <w:ind w:left="360"/>
      </w:pPr>
      <w:r>
        <w:rPr>
          <w:rFonts w:ascii="Courier New" w:hAnsi="Courier New"/>
          <w:color w:val="333333"/>
          <w:sz w:val="19"/>
        </w:rPr>
        <w:t>{</w:t>
        <w:br/>
        <w:t xml:space="preserve">    "totalForecast": 5000000.00,</w:t>
        <w:br/>
        <w:t xml:space="preserve">    "totalActual": 6007175020.00,</w:t>
        <w:br/>
        <w:t xml:space="preserve">    "totalMin": 0.00,</w:t>
        <w:br/>
        <w:t xml:space="preserve">    "totalMax": 0.00,</w:t>
        <w:br/>
        <w:t xml:space="preserve">    "totalPipeline": 5000000.00,</w:t>
        <w:br/>
        <w:t xml:space="preserve">    "totalOpportunities": 1,</w:t>
        <w:br/>
        <w:t xml:space="preserve">    "totalResources": 9,</w:t>
        <w:br/>
        <w:t xml:space="preserve">    "totalWorklogHours": 2431.1,</w:t>
        <w:br/>
        <w:t xml:space="preserve">    "totalOpenRisks": 6,</w:t>
        <w:br/>
        <w:t xml:space="preserve">    "revenueByLine": [</w:t>
        <w:br/>
        <w:t xml:space="preserve">        {</w:t>
        <w:br/>
        <w:t xml:space="preserve">            "label": "Trung tâm giải pháp hành chính số",</w:t>
        <w:br/>
        <w:t xml:space="preserve">            "value": 5000000.00</w:t>
        <w:br/>
        <w:t xml:space="preserve">        }</w:t>
        <w:br/>
        <w:t xml:space="preserve">    ],</w:t>
        <w:br/>
        <w:t xml:space="preserve">    "revenueByCategory": [</w:t>
        <w:br/>
        <w:t xml:space="preserve">        {</w:t>
        <w:br/>
        <w:t xml:space="preserve">            "label": "Một cửa số",</w:t>
        <w:br/>
        <w:t xml:space="preserve">            "value": 5000000.00</w:t>
        <w:br/>
        <w:t xml:space="preserve">        }</w:t>
        <w:br/>
        <w:t xml:space="preserve">    ],</w:t>
        <w:br/>
        <w:t xml:space="preserve">    "revenueByMonth": [</w:t>
        <w:br/>
        <w:t xml:space="preserve">        {"label": "T1", "value": 6000000020.00},</w:t>
        <w:br/>
        <w:t xml:space="preserve">        {"label": "T2", "value": 0},</w:t>
        <w:br/>
        <w:t xml:space="preserve">        {"label": "T3", "value": 0},</w:t>
        <w:br/>
        <w:t xml:space="preserve">        {"label": "T4", "value": 0},</w:t>
        <w:br/>
        <w:t xml:space="preserve">        {"label": "T5", "value": 0},</w:t>
        <w:br/>
        <w:t xml:space="preserve">        {"label": "T6", "value": 7175000.00},</w:t>
        <w:br/>
        <w:t xml:space="preserve">        {"label": "T7", "value": 0},</w:t>
        <w:br/>
        <w:t xml:space="preserve">        {"label": "T8", "value": 0},</w:t>
        <w:br/>
        <w:t xml:space="preserve">        {"label": "T9", "value": 0},</w:t>
        <w:br/>
        <w:t xml:space="preserve">        {"label": "T10", "value": 0},</w:t>
        <w:br/>
        <w:t xml:space="preserve">        {"label": "T11", "value": 0},</w:t>
        <w:br/>
        <w:t xml:space="preserve">        {"label": "T12", "value": 0}</w:t>
        <w:br/>
        <w:t xml:space="preserve">    ],</w:t>
        <w:br/>
        <w:t xml:space="preserve">    "funnel": [</w:t>
        <w:br/>
        <w:t xml:space="preserve">        {"label": "Tiếp cận", "count": 0, "forecast": 0},</w:t>
        <w:br/>
        <w:t xml:space="preserve">        {"label": "Đủ điều kiện", "count": 1, "forecast": 5000000.00}</w:t>
        <w:br/>
        <w:t xml:space="preserve">    ],</w:t>
        <w:br/>
        <w:t xml:space="preserve">    "statusDistribution": [</w:t>
        <w:br/>
        <w:t xml:space="preserve">        {"label": "Đang theo đuổi", "value": 1}</w:t>
        <w:br/>
        <w:t xml:space="preserve">    ],</w:t>
        <w:br/>
        <w:t xml:space="preserve">    "allocationByUnit": [</w:t>
        <w:br/>
        <w:t xml:space="preserve">        {"label": "Trung tâm giải pháp hành chính số", "value": 482}</w:t>
        <w:br/>
        <w:t xml:space="preserve">    ],</w:t>
        <w:br/>
        <w:t xml:space="preserve">    "riskByType": [</w:t>
        <w:br/>
        <w:t xml:space="preserve">        {"label": "Khách hàng", "value": 5},</w:t>
        <w:br/>
        <w:t xml:space="preserve">        {"label": "Kỹ thuật", "value": 2},</w:t>
        <w:br/>
        <w:t xml:space="preserve">        {"label": "Tiến độ", "value": 1}</w:t>
        <w:br/>
        <w:t xml:space="preserve">    ],</w:t>
        <w:br/>
        <w:t xml:space="preserve">    "openOpportunities": 1,</w:t>
        <w:br/>
        <w:t xml:space="preserve">    "criticalRisks": 3,</w:t>
        <w:br/>
        <w:t xml:space="preserve">    "topOpportunities": [</w:t>
        <w:br/>
        <w:t xml:space="preserve">        {</w:t>
        <w:br/>
        <w:t xml:space="preserve">            "code": "DAS_IGATE_2026_001",</w:t>
        <w:br/>
        <w:t xml:space="preserve">            "name": "Hệ thống Igate của Bộ Nội Vụ",</w:t>
        <w:br/>
        <w:t xml:space="preserve">            "unitName": "Line Người dân chính quyền",</w:t>
        <w:br/>
        <w:t xml:space="preserve">            "expectedRevenue": 5000000.00</w:t>
        <w:br/>
        <w:t xml:space="preserve">        }</w:t>
        <w:br/>
        <w:t xml:space="preserve">    ],</w:t>
        <w:br/>
        <w:t xml:space="preserve">    "workload": [</w:t>
        <w:br/>
        <w:t xml:space="preserve">        {</w:t>
        <w:br/>
        <w:t xml:space="preserve">            "email": "dthai99@vnpt.vn",</w:t>
        <w:br/>
        <w:t xml:space="preserve">            "allocationPercent": 100,</w:t>
        <w:br/>
        <w:t xml:space="preserve">            "totalTasks": 3,</w:t>
        <w:br/>
        <w:t xml:space="preserve">            "doneTasks": 2,</w:t>
        <w:br/>
        <w:t xml:space="preserve">            "hours": 0.0,</w:t>
        <w:br/>
        <w:t xml:space="preserve">            "loadLabel": "Nhiều việc",</w:t>
        <w:br/>
        <w:t xml:space="preserve">            "loadBadge": "bg-warning text-dark"</w:t>
        <w:br/>
        <w:t xml:space="preserve">        },</w:t>
        <w:br/>
        <w:t xml:space="preserve">        {</w:t>
        <w:br/>
        <w:t xml:space="preserve">            "email": "buiducdung@vnpt.vn",</w:t>
        <w:br/>
        <w:t xml:space="preserve">            "allocationPercent": 80,</w:t>
        <w:br/>
        <w:t xml:space="preserve">            "totalTasks": 21,</w:t>
        <w:br/>
        <w:t xml:space="preserve">            "doneTasks": 14,</w:t>
        <w:br/>
        <w:t xml:space="preserve">            "hours": 371.0,</w:t>
        <w:br/>
        <w:t xml:space="preserve">            "loadLabel": "Nhiều việc",</w:t>
        <w:br/>
        <w:t xml:space="preserve">            "loadBadge": "bg-warning text-dark"</w:t>
        <w:br/>
        <w:t xml:space="preserve">        }</w:t>
        <w:br/>
        <w:t xml:space="preserve">    ],</w:t>
        <w:br/>
        <w:t xml:space="preserve">    "totalOrderValue": 595000000.00,</w:t>
        <w:br/>
        <w:t xml:space="preserve">    "totalChangeRequestValue": 50000000.00,</w:t>
        <w:br/>
        <w:t xml:space="preserve">    "orderValueByType": [</w:t>
        <w:br/>
        <w:t xml:space="preserve">        {"label": "Phát sinh (Change Request)", "value": 50000000.00},</w:t>
        <w:br/>
        <w:t xml:space="preserve">        {"label": "Đơn hàng gốc", "value": 545000000.00}</w:t>
        <w:br/>
        <w:t xml:space="preserve">    ]</w:t>
        <w:b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C3E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