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Usage Policy</w:t>
      </w:r>
    </w:p>
    <w:p>
      <w:r>
        <w:t>Owner: Product Counsel. Applies to every product feature and internal tool that uses machine learning or generative AI.</w:t>
      </w:r>
    </w:p>
    <w:p>
      <w:pPr>
        <w:pStyle w:val="Heading1"/>
      </w:pPr>
      <w:r>
        <w:t>1. Transparency</w:t>
      </w:r>
    </w:p>
    <w:p>
      <w:r>
        <w:t>Customer-facing features that use AI to generate content or answers should disclose that AI is involved, for example with an 'AI-generated' label. Product counsel may approve omitting the disclosure for internal-only tools.</w:t>
      </w:r>
    </w:p>
    <w:p>
      <w:pPr>
        <w:pStyle w:val="Heading1"/>
      </w:pPr>
      <w:r>
        <w:t>2. Training data</w:t>
      </w:r>
    </w:p>
    <w:p>
      <w:r>
        <w:t>Customer data must not be used to train or fine-tune third-party AI models without explicit, recorded customer consent. Using customer data with a vendor's model for inference only is allowed when the vendor contract prohibits training on our data.</w:t>
      </w:r>
    </w:p>
    <w:p>
      <w:pPr>
        <w:pStyle w:val="Heading1"/>
      </w:pPr>
      <w:r>
        <w:t>3. Human oversight</w:t>
      </w:r>
    </w:p>
    <w:p>
      <w:r>
        <w:t>Decisions with legal or similarly significant effects on a person, such as credit or hiring decisions, require human review before they take effect.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Allowed</w:t>
            </w:r>
          </w:p>
        </w:tc>
      </w:tr>
      <w:tr>
        <w:tc>
          <w:tcPr>
            <w:tcW w:type="dxa" w:w="4320"/>
          </w:tcPr>
          <w:p>
            <w:r>
              <w:t>Support reply drafts</w:t>
            </w:r>
          </w:p>
        </w:tc>
        <w:tc>
          <w:tcPr>
            <w:tcW w:type="dxa" w:w="4320"/>
          </w:tcPr>
          <w:p>
            <w:r>
              <w:t>Yes, with disclosure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Usage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