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ind w:firstLine="0"/>
        <w:jc w:val="center"/>
      </w:pPr>
      <w:r>
        <w:rPr>
          <w:b w:val="0"/>
          <w:sz w:val="24"/>
        </w:rPr>
        <w:t>Финансовый университет при Правительстве</w:t>
        <w:br/>
        <w:t>Российской Федерации</w:t>
      </w:r>
    </w:p>
    <w:p>
      <w:pPr>
        <w:spacing w:before="240" w:after="0"/>
        <w:ind w:firstLine="0"/>
        <w:jc w:val="center"/>
      </w:pPr>
      <w:r>
        <w:rPr>
          <w:b w:val="0"/>
          <w:sz w:val="24"/>
        </w:rPr>
        <w:t>Дисциплина «Прикладные задачи машинного обучения»</w:t>
      </w:r>
    </w:p>
    <w:p>
      <w:pPr>
        <w:spacing w:before="1600" w:after="0"/>
        <w:ind w:firstLine="0"/>
        <w:jc w:val="center"/>
      </w:pPr>
      <w:r>
        <w:rPr>
          <w:b/>
          <w:sz w:val="28"/>
        </w:rPr>
        <w:t>ОТЧЕТ</w:t>
      </w:r>
    </w:p>
    <w:p>
      <w:pPr>
        <w:spacing w:before="0" w:after="240"/>
        <w:ind w:firstLine="0"/>
        <w:jc w:val="center"/>
      </w:pPr>
      <w:r>
        <w:rPr>
          <w:b w:val="0"/>
          <w:sz w:val="24"/>
        </w:rPr>
        <w:t>по лабораторной работе № 1</w:t>
      </w:r>
    </w:p>
    <w:p>
      <w:pPr>
        <w:pStyle w:val="Title"/>
      </w:pPr>
      <w:r>
        <w:t>Большие языковые модели</w:t>
        <w:br/>
        <w:t>в предметной области ВКР</w:t>
      </w:r>
    </w:p>
    <w:p>
      <w:pPr>
        <w:spacing w:before="360" w:after="0"/>
        <w:ind w:firstLine="0"/>
        <w:jc w:val="center"/>
      </w:pPr>
      <w:r>
        <w:rPr>
          <w:b w:val="0"/>
          <w:sz w:val="24"/>
        </w:rPr>
        <w:t>Тема ВКР</w:t>
      </w:r>
    </w:p>
    <w:p>
      <w:pPr>
        <w:spacing w:before="0" w:after="0"/>
        <w:ind w:firstLine="0"/>
        <w:jc w:val="center"/>
      </w:pPr>
      <w:r>
        <w:rPr>
          <w:b w:val="0"/>
          <w:sz w:val="24"/>
        </w:rPr>
        <w:t>Разработка системы компьютерного зрения для контроля качества сварных швов на основе архитектуры Vision Transformer (ViT) и методов Few-Shot Learning</w:t>
      </w:r>
    </w:p>
    <w:p>
      <w:pPr>
        <w:spacing w:before="1100"/>
        <w:ind w:firstLine="0" w:left="4535"/>
        <w:jc w:val="left"/>
      </w:pPr>
      <w:r>
        <w:t>Выполнил: Азаров Владимир Сергеевич</w:t>
        <w:br/>
        <w:t>Группа: ПМ23-2</w:t>
      </w:r>
    </w:p>
    <w:p>
      <w:pPr>
        <w:spacing w:before="1200" w:after="0"/>
        <w:ind w:firstLine="0"/>
        <w:jc w:val="center"/>
      </w:pPr>
      <w:r>
        <w:rPr>
          <w:b w:val="0"/>
          <w:sz w:val="24"/>
        </w:rPr>
        <w:t>Москва 2026</w:t>
      </w:r>
    </w:p>
    <w:p>
      <w:pPr>
        <w:pStyle w:val="Structural"/>
        <w:pageBreakBefore/>
      </w:pPr>
      <w:r>
        <w:t>РЕФЕРАТ</w:t>
      </w:r>
    </w:p>
    <w:p>
      <w:pPr/>
      <w:r>
        <w:t>Отчет 15 с., 6 рис., 6 табл., 9 источников.</w:t>
      </w:r>
    </w:p>
    <w:p>
      <w:pPr/>
      <w:r>
        <w:t>КОМПЬЮТЕРНОЕ ЗРЕНИЕ, СВАРНОЙ ШОВ, РЕНТГЕНОГРАММА, МУЛЬТИМОДАЛЬНАЯ ЯЗЫКОВАЯ МОДЕЛЬ, FEW-SHOT LEARNING, VISION TRANSFORMER</w:t>
      </w:r>
    </w:p>
    <w:p>
      <w:pPr/>
      <w:r>
        <w:t>Проведено сравнение трех готовых мультимодальных моделей для определения дефектов сварных швов по рентгеновским изображениям. Для проверки использован набор RIAWELC. Перед сравнением удалены точные повторы и сформированы части, разделенные по группам исходных снимков.</w:t>
      </w:r>
    </w:p>
    <w:p>
      <w:pPr/>
      <w:r>
        <w:t>Mistral Small 3.2 24B, GPT-4.1 mini и Qwen3 VL 30B A3B проверены на 80 изображениях без примеров и с четырьмя размеченными примерами. Лучшая модель дополнительно проверена на 160 изображениях. Веса моделей не изменялись.</w:t>
      </w:r>
    </w:p>
    <w:p>
      <w:pPr/>
      <w:r>
        <w:t>Лучший результат показала GPT-4.1 mini с четырьмя примерами: Macro-F1 составил 0,8987. На дополнительной выборке Macro-F1 составил 0,7713, доля правильных ответов 76,9 %. Два дефектных изображения модель признала нормальными. Результаты пригодны для сравнения с будущей моделью ViT; автономная приемка сварных соединений в работе не проверялась.</w:t>
      </w:r>
    </w:p>
    <w:p>
      <w:pPr>
        <w:pStyle w:val="Structural"/>
        <w:pageBreakBefore/>
      </w:pPr>
      <w:r>
        <w:t>СОДЕРЖАНИЕ</w:t>
      </w:r>
    </w:p>
    <w:p>
      <w:pPr>
        <w:pStyle w:val="TOCEntry"/>
        <w:tabs>
          <w:tab w:pos="9298" w:val="right" w:leader="dot"/>
        </w:tabs>
        <w:ind w:left="0"/>
      </w:pPr>
      <w:r>
        <w:t>ВВЕДЕНИЕ</w:t>
        <w:tab/>
        <w:t>4</w:t>
      </w:r>
    </w:p>
    <w:p>
      <w:pPr>
        <w:pStyle w:val="TOCEntry"/>
        <w:tabs>
          <w:tab w:pos="9298" w:val="right" w:leader="dot"/>
        </w:tabs>
        <w:ind w:left="0"/>
      </w:pPr>
      <w:r>
        <w:t>1 Обзор исследований</w:t>
        <w:tab/>
        <w:t>5</w:t>
      </w:r>
    </w:p>
    <w:p>
      <w:pPr>
        <w:pStyle w:val="TOCEntry"/>
        <w:tabs>
          <w:tab w:pos="9298" w:val="right" w:leader="dot"/>
        </w:tabs>
        <w:ind w:left="0"/>
      </w:pPr>
      <w:r>
        <w:t>2 Исходный датасет</w:t>
        <w:tab/>
        <w:t>6</w:t>
      </w:r>
    </w:p>
    <w:p>
      <w:pPr>
        <w:pStyle w:val="TOCEntry"/>
        <w:tabs>
          <w:tab w:pos="9298" w:val="right" w:leader="dot"/>
        </w:tabs>
        <w:ind w:left="340"/>
      </w:pPr>
      <w:r>
        <w:t>2.1 Проверка повторов</w:t>
        <w:tab/>
        <w:t>7</w:t>
      </w:r>
    </w:p>
    <w:p>
      <w:pPr>
        <w:pStyle w:val="TOCEntry"/>
        <w:tabs>
          <w:tab w:pos="9298" w:val="right" w:leader="dot"/>
        </w:tabs>
        <w:ind w:left="340"/>
      </w:pPr>
      <w:r>
        <w:t>2.2 Подготовка рабочих выборок</w:t>
        <w:tab/>
        <w:t>7</w:t>
      </w:r>
    </w:p>
    <w:p>
      <w:pPr>
        <w:pStyle w:val="TOCEntry"/>
        <w:tabs>
          <w:tab w:pos="9298" w:val="right" w:leader="dot"/>
        </w:tabs>
        <w:ind w:left="0"/>
      </w:pPr>
      <w:r>
        <w:t>3 Порядок сравнения моделей</w:t>
        <w:tab/>
        <w:t>8</w:t>
      </w:r>
    </w:p>
    <w:p>
      <w:pPr>
        <w:pStyle w:val="TOCEntry"/>
        <w:tabs>
          <w:tab w:pos="9298" w:val="right" w:leader="dot"/>
        </w:tabs>
        <w:ind w:left="340"/>
      </w:pPr>
      <w:r>
        <w:t>3.1 Метрики и правило выбора</w:t>
        <w:tab/>
        <w:t>8</w:t>
      </w:r>
    </w:p>
    <w:p>
      <w:pPr>
        <w:pStyle w:val="TOCEntry"/>
        <w:tabs>
          <w:tab w:pos="9298" w:val="right" w:leader="dot"/>
        </w:tabs>
        <w:ind w:left="0"/>
      </w:pPr>
      <w:r>
        <w:t>4 Результаты сравнения</w:t>
        <w:tab/>
        <w:t>9</w:t>
      </w:r>
    </w:p>
    <w:p>
      <w:pPr>
        <w:pStyle w:val="TOCEntry"/>
        <w:tabs>
          <w:tab w:pos="9298" w:val="right" w:leader="dot"/>
        </w:tabs>
        <w:ind w:left="0"/>
      </w:pPr>
      <w:r>
        <w:t>5 Проверка выбранной модели</w:t>
        <w:tab/>
        <w:t>11</w:t>
      </w:r>
    </w:p>
    <w:p>
      <w:pPr>
        <w:pStyle w:val="TOCEntry"/>
        <w:tabs>
          <w:tab w:pos="9298" w:val="right" w:leader="dot"/>
        </w:tabs>
        <w:ind w:left="0"/>
      </w:pPr>
      <w:r>
        <w:t>6 Воспроизводимость эксперимента</w:t>
        <w:tab/>
        <w:t>13</w:t>
      </w:r>
    </w:p>
    <w:p>
      <w:pPr>
        <w:pStyle w:val="TOCEntry"/>
        <w:tabs>
          <w:tab w:pos="9298" w:val="right" w:leader="dot"/>
        </w:tabs>
        <w:ind w:left="0"/>
      </w:pPr>
      <w:r>
        <w:t>ЗАКЛЮЧЕНИЕ</w:t>
        <w:tab/>
        <w:t>14</w:t>
      </w:r>
    </w:p>
    <w:p>
      <w:pPr>
        <w:pStyle w:val="TOCEntry"/>
        <w:tabs>
          <w:tab w:pos="9298" w:val="right" w:leader="dot"/>
        </w:tabs>
        <w:ind w:left="0"/>
      </w:pPr>
      <w:r>
        <w:t>СПИСОК ИСПОЛЬЗОВАННЫХ ИСТОЧНИКОВ</w:t>
        <w:tab/>
        <w:t>15</w:t>
      </w:r>
    </w:p>
    <w:p>
      <w:pPr>
        <w:pStyle w:val="Structural"/>
        <w:pageBreakBefore/>
      </w:pPr>
      <w:r>
        <w:t>ВВЕДЕНИЕ</w:t>
      </w:r>
    </w:p>
    <w:p>
      <w:pPr/>
      <w:r>
        <w:t>В работе сравниваются готовые мультимодальные языковые модели для классификации дефектов сварных швов. Модель получает изображение и возвращает один из четырех классов: трещина, непровар, отсутствие дефекта или пористость. Все модели проверены на одной выборке.</w:t>
      </w:r>
    </w:p>
    <w:p>
      <w:pPr/>
      <w:r>
        <w:t>Цель лабораторной работы: оценить, насколько примеры в запросе меняют качество распознавания и какую модель можно использовать для дальнейшего сравнения с ViT в рамках ВКР.</w:t>
      </w:r>
    </w:p>
    <w:p>
      <w:pPr/>
      <w:r>
        <w:t>Для этого рассмотрены исследования по ViT и обучению на малой выборке, проверен исходный датасет, выполнено сравнение трех моделей через OpenRouter и проведена отдельная проверка выбранной модели. Качество оценено по Macro-F1, доле правильных ответов и пропускам дефектов. Также учтены стоимость запросов и ошибки формата ответа.</w:t>
      </w:r>
    </w:p>
    <w:p>
      <w:pPr/>
      <w:r>
        <w:t>В режиме zero-shot модель получает только инструкцию и целевое изображение. В режиме few-shot в запрос добавлены размеченные изображения. В эксперименте использовано четыре примера, по одному на класс; далее этот режим обозначен four-shot. Это обучение по контексту запроса без изменения весов. Обучение самой архитектуры ViT в лабораторную не входит.</w:t>
      </w:r>
    </w:p>
    <w:p>
      <w:pPr/>
      <w:r>
        <w:t>Проверяются две гипотезы. H1: среднее изменение Macro-F1 при добавлении четырех примеров положительно для выбранных трех моделей. H2: лучшая four-shot модель на отдельной выборке получает Macro-F1 не ниже 0,70 и пропускает не более 5 % дефектных изображений. Эти пороги заданы для эксперимента и не являются нормативами приемки сварных соединений.</w:t>
      </w:r>
    </w:p>
    <w:p>
      <w:pPr/>
      <w:r>
        <w:t>Эксперимент выполнен 17 сентября 2026 г. Сохранены исходные ответы API, список изображений, параметры запросов и результаты расчета метрик.</w:t>
      </w:r>
    </w:p>
    <w:p>
      <w:pPr>
        <w:pStyle w:val="Heading1"/>
        <w:pageBreakBefore/>
      </w:pPr>
      <w:r>
        <w:t>1 Обзор исследований</w:t>
      </w:r>
    </w:p>
    <w:p>
      <w:pPr/>
      <w:r>
        <w:t>Поиск проведен по запросам "weld defect" AND ("vision transformer" OR "few-shot learning"), "radiographic weld defect dataset RIAWELC" и "visual language model few-shot learning". Отобраны пять работ: по архитектуре ViT, обучению на малой выборке, примерам в запросе и распознаванию дефектов сварки.</w:t>
      </w:r>
    </w:p>
    <w:p>
      <w:pPr/>
      <w:r>
        <w:t>Dosovitskiy и соавторы предложили Vision Transformer [1]. Изображение разбивается на патчи, которые обрабатывает трансформер. Работа обосновывает выбор архитектуры для ВКР, но качество на рентгенограммах сварных швов нужно проверять отдельно.</w:t>
      </w:r>
    </w:p>
    <w:p>
      <w:pPr/>
      <w:r>
        <w:t>Snell, Swersky и Zemel описали Prototypical Networks [2]. Класс определяется по расстоянию до прототипа, рассчитанного по нескольким размеченным примерам. Этот подход можно проверить поверх признаков ViT, когда разметки недостаточно для обучения большой модели.</w:t>
      </w:r>
    </w:p>
    <w:p>
      <w:pPr/>
      <w:r>
        <w:t>Brown и соавторы исследовали выполнение языковых задач по примерам в запросе без обновления весов [3]. В лабораторной используется тот же принцип. Однако в исходной работе рассматривались языковые задачи, поэтому ее результаты не заменяют проверку на изображениях.</w:t>
      </w:r>
    </w:p>
    <w:p>
      <w:pPr/>
      <w:r>
        <w:t>Alayrac и соавторы предложили Flamingo, которая обрабатывает чередующиеся изображения и текст [4]. Работа показывает, как использовать визуальные примеры в запросе. Отдельная оценка на сварных швах в выбранном протоколе в ней отсутствует.</w:t>
      </w:r>
    </w:p>
    <w:p>
      <w:pPr/>
      <w:r>
        <w:t>Contreras Ortiz и соавторы сравнили варианты применения ViT к изображениям сварки Aluminium 5083 TIG при разном объеме обучения [5]. Их эксперимент связан с темой ВКР, но использует другую модальность и обучение модели. Напрямую сравнивать опубликованные значения с результатами RIAWELC нельзя.</w:t>
      </w:r>
    </w:p>
    <w:p>
      <w:pPr/>
      <w:r>
        <w:t>В рассмотренных работах нет сравнения трех выбранных API-моделей на RIAWELC с одинаковыми примерами, разделением по исходным снимкам и учетом стоимости. В данной работе проверяется этот сценарий. Обзор ограничен выбранными публикациями и не претендует на полный перечень исследований.</w:t>
      </w:r>
    </w:p>
    <w:p>
      <w:pPr>
        <w:pStyle w:val="Heading1"/>
        <w:pageBreakBefore/>
      </w:pPr>
      <w:r>
        <w:t>2 Исходный датасет</w:t>
      </w:r>
    </w:p>
    <w:p>
      <w:pPr/>
      <w:r>
        <w:t>Для проверки использован открытый набор RIAWELC [6, 7]. В официальном репозитории находятся 24 407 фрагментов рентгенограмм сварных швов. Состав классов приведен в таблице 1.</w:t>
      </w:r>
    </w:p>
    <w:p>
      <w:pPr>
        <w:pStyle w:val="TableCaption"/>
      </w:pPr>
      <w:r>
        <w:t>Таблица 1 - Состав RIAWELC</w:t>
      </w:r>
    </w:p>
    <w:tbl>
      <w:tblPr>
        <w:tblW w:type="auto" w:w="0"/>
        <w:jc w:val="center"/>
        <w:tblLayout w:type="fixed"/>
        <w:tblLook w:firstColumn="1" w:firstRow="1" w:lastColumn="0" w:lastRow="0" w:noHBand="0" w:noVBand="1" w:val="04A0"/>
      </w:tblPr>
      <w:tblGrid>
        <w:gridCol w:w="907"/>
        <w:gridCol w:w="3912"/>
        <w:gridCol w:w="1984"/>
        <w:gridCol w:w="2551"/>
      </w:tblGrid>
      <w:tr>
        <w:trPr>
          <w:cantSplit/>
          <w:tblHeader/>
        </w:trPr>
        <w:tc>
          <w:tcPr>
            <w:tcW w:type="dxa" w:w="907"/>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Класс</w:t>
            </w:r>
          </w:p>
        </w:tc>
        <w:tc>
          <w:tcPr>
            <w:tcW w:type="dxa" w:w="391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Описание</w:t>
            </w:r>
          </w:p>
        </w:tc>
        <w:tc>
          <w:tcPr>
            <w:tcW w:type="dxa" w:w="198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Файлов</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Уникальных</w:t>
            </w:r>
          </w:p>
        </w:tc>
      </w:tr>
      <w:tr>
        <w:trPr>
          <w:cantSplit/>
        </w:trPr>
        <w:tc>
          <w:tcPr>
            <w:tcW w:type="dxa" w:w="907"/>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CR</w:t>
            </w:r>
          </w:p>
        </w:tc>
        <w:tc>
          <w:tcPr>
            <w:tcW w:type="dxa" w:w="391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Трещина</w:t>
            </w:r>
          </w:p>
        </w:tc>
        <w:tc>
          <w:tcPr>
            <w:tcW w:type="dxa" w:w="198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7635</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6816</w:t>
            </w:r>
          </w:p>
        </w:tc>
      </w:tr>
      <w:tr>
        <w:trPr>
          <w:cantSplit/>
        </w:trPr>
        <w:tc>
          <w:tcPr>
            <w:tcW w:type="dxa" w:w="907"/>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LP</w:t>
            </w:r>
          </w:p>
        </w:tc>
        <w:tc>
          <w:tcPr>
            <w:tcW w:type="dxa" w:w="391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Непровар</w:t>
            </w:r>
          </w:p>
        </w:tc>
        <w:tc>
          <w:tcPr>
            <w:tcW w:type="dxa" w:w="198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4452</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4001</w:t>
            </w:r>
          </w:p>
        </w:tc>
      </w:tr>
      <w:tr>
        <w:trPr>
          <w:cantSplit/>
        </w:trPr>
        <w:tc>
          <w:tcPr>
            <w:tcW w:type="dxa" w:w="907"/>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ND</w:t>
            </w:r>
          </w:p>
        </w:tc>
        <w:tc>
          <w:tcPr>
            <w:tcW w:type="dxa" w:w="391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Нет дефекта</w:t>
            </w:r>
          </w:p>
        </w:tc>
        <w:tc>
          <w:tcPr>
            <w:tcW w:type="dxa" w:w="198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6000</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5396</w:t>
            </w:r>
          </w:p>
        </w:tc>
      </w:tr>
      <w:tr>
        <w:trPr>
          <w:cantSplit/>
        </w:trPr>
        <w:tc>
          <w:tcPr>
            <w:tcW w:type="dxa" w:w="907"/>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PO</w:t>
            </w:r>
          </w:p>
        </w:tc>
        <w:tc>
          <w:tcPr>
            <w:tcW w:type="dxa" w:w="391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Пористость</w:t>
            </w:r>
          </w:p>
        </w:tc>
        <w:tc>
          <w:tcPr>
            <w:tcW w:type="dxa" w:w="198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6320</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5680</w:t>
            </w:r>
          </w:p>
        </w:tc>
      </w:tr>
      <w:tr>
        <w:trPr>
          <w:cantSplit/>
        </w:trPr>
        <w:tc>
          <w:tcPr>
            <w:tcW w:type="dxa" w:w="907"/>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left"/>
            </w:pPr>
            <w:r>
              <w:rPr>
                <w:rFonts w:ascii="Times New Roman" w:hAnsi="Times New Roman"/>
                <w:b w:val="0"/>
                <w:sz w:val="24"/>
              </w:rPr>
              <w:t>Всего</w:t>
            </w:r>
          </w:p>
        </w:tc>
        <w:tc>
          <w:tcPr>
            <w:tcW w:type="dxa" w:w="391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r>
          </w:p>
        </w:tc>
        <w:tc>
          <w:tcPr>
            <w:tcW w:type="dxa" w:w="198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24407</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21893</w:t>
            </w:r>
          </w:p>
        </w:tc>
      </w:tr>
    </w:tbl>
    <w:p>
      <w:pPr>
        <w:spacing w:line="240" w:lineRule="auto" w:after="60"/>
      </w:pPr>
      <w:r>
        <w:rPr>
          <w:sz w:val="2"/>
        </w:rPr>
        <w:t xml:space="preserve"> </w:t>
      </w:r>
    </w:p>
    <w:p>
      <w:pPr/>
      <w:r>
        <w:t>Единица наблюдения: отдельный фрагмент изображения. Все файлы открылись без ошибок, имеют один канал яркости и размер 227×227 пикселей. В описании набора указано 224×224; в работе использованы фактические размеры файлов. Пропусков меток не обнаружено.</w:t>
      </w:r>
    </w:p>
    <w:p>
      <w:pPr/>
      <w:r>
        <w:t>Папки Difetto1, Difetto2, Difetto4 и NoDifetto сопоставлены с CR, PO, LP и ND по численности классов в публикации [6]. Сопоставление также проверено просмотром примеров. Отношение размеров наибольшего и наименьшего классов составляет 1,72.</w:t>
      </w:r>
    </w:p>
    <w:p>
      <w:pPr>
        <w:keepNext/>
      </w:pPr>
      <w:r>
        <w:t>На рисунке 1 показаны четыре изображения, которые включены в каждый запрос four-shot. Дополнительное улучшение контраста или разметка области дефекта к ним не применялись.</w:t>
      </w:r>
    </w:p>
    <w:p>
      <w:pPr>
        <w:keepNext/>
        <w:spacing w:line="240" w:lineRule="auto" w:before="120"/>
        <w:ind w:firstLine="0"/>
        <w:jc w:val="center"/>
      </w:pPr>
      <w:r>
        <w:drawing>
          <wp:inline>
            <wp:extent cx="5760000" cy="1772308"/>
            <wp:docPr id="1" name="Picture 1"/>
            <wp:cNvGraphicFramePr>
              <a:graphicFrameLocks noChangeAspect="1"/>
            </wp:cNvGraphicFramePr>
            <a:graphic>
              <a:graphicData uri="http://schemas.openxmlformats.org/drawingml/2006/picture">
                <pic:pic>
                  <pic:nvPicPr>
                    <pic:cNvPr id="0" name="support.png"/>
                    <pic:cNvPicPr/>
                  </pic:nvPicPr>
                  <pic:blipFill>
                    <a:blip r:embed="rId10"/>
                    <a:stretch>
                      <a:fillRect/>
                    </a:stretch>
                  </pic:blipFill>
                  <pic:spPr>
                    <a:xfrm>
                      <a:off x="0" y="0"/>
                      <a:ext cx="5760000" cy="1772308"/>
                    </a:xfrm>
                    <a:prstGeom prst="rect"/>
                  </pic:spPr>
                </pic:pic>
              </a:graphicData>
            </a:graphic>
          </wp:inline>
        </w:drawing>
      </w:r>
    </w:p>
    <w:p>
      <w:pPr>
        <w:pStyle w:val="FigureCaption"/>
      </w:pPr>
      <w:r>
        <w:t>Рисунок 1 - Примеры классов для режима four-shot</w:t>
      </w:r>
    </w:p>
    <w:p>
      <w:pPr>
        <w:pStyle w:val="Heading2"/>
      </w:pPr>
      <w:r>
        <w:t>2.1 Проверка повторов</w:t>
      </w:r>
    </w:p>
    <w:p>
      <w:pPr/>
      <w:r>
        <w:t>В исходном разбиении 15 863 изображения отнесены к training, 6 101 к validation и 2 443 к testing. При проверке SHA-256 декодированных пикселей найдено 21 893 уникальных изображения. Остальные 2 514 файлов повторяют уже имеющиеся изображения.</w:t>
      </w:r>
    </w:p>
    <w:p>
      <w:pPr/>
      <w:r>
        <w:t>В 2 465 группах одинаковых изображений есть файлы из разных исходных частей. Противоречащих друг другу меток у точных копий нет. Чтобы одинаковые изображения не попали одновременно в примеры и оценку, исходное разбиение заменено новым.</w:t>
      </w:r>
    </w:p>
    <w:p>
      <w:pPr/>
      <w:r>
        <w:t>После удаления точных повторов данные разделены по префиксу имени файла до "_Img". Получено 29 групп. Между частями их префиксы не пересекаются. Такой префикс используется как доступный признак общего источника; принадлежность к одному физическому сварному соединению по нему не подтверждена. Даты съемки отсутствуют, поэтому временное разбиение не применялось.</w:t>
      </w:r>
    </w:p>
    <w:p>
      <w:pPr>
        <w:pStyle w:val="Heading2"/>
      </w:pPr>
      <w:r>
        <w:t>2.2 Подготовка рабочих выборок</w:t>
      </w:r>
    </w:p>
    <w:p>
      <w:pPr/>
      <w:r>
        <w:t>До сравнения моделей зафиксированы четыре рабочие части с seed=17092026 (таблица 2). Классы в каждой части представлены поровну. Остальные изображения в API-эксперименте не использовались.</w:t>
      </w:r>
    </w:p>
    <w:p>
      <w:pPr>
        <w:pStyle w:val="TableCaption"/>
      </w:pPr>
      <w:r>
        <w:t>Таблица 2 - Рабочие выборки</w:t>
      </w:r>
    </w:p>
    <w:tbl>
      <w:tblPr>
        <w:tblW w:type="auto" w:w="0"/>
        <w:jc w:val="center"/>
        <w:tblLayout w:type="fixed"/>
        <w:tblLook w:firstColumn="1" w:firstRow="1" w:lastColumn="0" w:lastRow="0" w:noHBand="0" w:noVBand="1" w:val="04A0"/>
      </w:tblPr>
      <w:tblGrid>
        <w:gridCol w:w="2721"/>
        <w:gridCol w:w="1928"/>
        <w:gridCol w:w="1361"/>
        <w:gridCol w:w="3345"/>
      </w:tblGrid>
      <w:tr>
        <w:trPr>
          <w:cantSplit/>
          <w:tblHeader/>
        </w:trPr>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Часть</w:t>
            </w:r>
          </w:p>
        </w:tc>
        <w:tc>
          <w:tcPr>
            <w:tcW w:type="dxa" w:w="1928"/>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Изображений</w:t>
            </w:r>
          </w:p>
        </w:tc>
        <w:tc>
          <w:tcPr>
            <w:tcW w:type="dxa" w:w="136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На класс</w:t>
            </w:r>
          </w:p>
        </w:tc>
        <w:tc>
          <w:tcPr>
            <w:tcW w:type="dxa" w:w="3345"/>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Назначение</w:t>
            </w:r>
          </w:p>
        </w:tc>
      </w:tr>
      <w:tr>
        <w:trPr>
          <w:cantSplit/>
        </w:trPr>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Support / train</w:t>
            </w:r>
          </w:p>
        </w:tc>
        <w:tc>
          <w:tcPr>
            <w:tcW w:type="dxa" w:w="1928"/>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4</w:t>
            </w:r>
          </w:p>
        </w:tc>
        <w:tc>
          <w:tcPr>
            <w:tcW w:type="dxa" w:w="136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w:t>
            </w:r>
          </w:p>
        </w:tc>
        <w:tc>
          <w:tcPr>
            <w:tcW w:type="dxa" w:w="3345"/>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Примеры</w:t>
            </w:r>
          </w:p>
        </w:tc>
      </w:tr>
      <w:tr>
        <w:trPr>
          <w:cantSplit/>
        </w:trPr>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Validation</w:t>
            </w:r>
          </w:p>
        </w:tc>
        <w:tc>
          <w:tcPr>
            <w:tcW w:type="dxa" w:w="1928"/>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16</w:t>
            </w:r>
          </w:p>
        </w:tc>
        <w:tc>
          <w:tcPr>
            <w:tcW w:type="dxa" w:w="136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4</w:t>
            </w:r>
          </w:p>
        </w:tc>
        <w:tc>
          <w:tcPr>
            <w:tcW w:type="dxa" w:w="3345"/>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Проверка API</w:t>
            </w:r>
          </w:p>
        </w:tc>
      </w:tr>
      <w:tr>
        <w:trPr>
          <w:cantSplit/>
        </w:trPr>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Test / comparison</w:t>
            </w:r>
          </w:p>
        </w:tc>
        <w:tc>
          <w:tcPr>
            <w:tcW w:type="dxa" w:w="1928"/>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80</w:t>
            </w:r>
          </w:p>
        </w:tc>
        <w:tc>
          <w:tcPr>
            <w:tcW w:type="dxa" w:w="136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20</w:t>
            </w:r>
          </w:p>
        </w:tc>
        <w:tc>
          <w:tcPr>
            <w:tcW w:type="dxa" w:w="3345"/>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Сравнение и выбор</w:t>
            </w:r>
          </w:p>
        </w:tc>
      </w:tr>
      <w:tr>
        <w:trPr>
          <w:cantSplit/>
        </w:trPr>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left"/>
            </w:pPr>
            <w:r>
              <w:rPr>
                <w:rFonts w:ascii="Times New Roman" w:hAnsi="Times New Roman"/>
                <w:b w:val="0"/>
                <w:sz w:val="24"/>
              </w:rPr>
              <w:t>Application</w:t>
            </w:r>
          </w:p>
        </w:tc>
        <w:tc>
          <w:tcPr>
            <w:tcW w:type="dxa" w:w="1928"/>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160</w:t>
            </w:r>
          </w:p>
        </w:tc>
        <w:tc>
          <w:tcPr>
            <w:tcW w:type="dxa" w:w="136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40</w:t>
            </w:r>
          </w:p>
        </w:tc>
        <w:tc>
          <w:tcPr>
            <w:tcW w:type="dxa" w:w="3345"/>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Проверка победителя</w:t>
            </w:r>
          </w:p>
        </w:tc>
      </w:tr>
    </w:tbl>
    <w:p>
      <w:pPr>
        <w:spacing w:line="240" w:lineRule="auto" w:after="60"/>
      </w:pPr>
      <w:r>
        <w:rPr>
          <w:sz w:val="2"/>
        </w:rPr>
        <w:t xml:space="preserve"> </w:t>
      </w:r>
    </w:p>
    <w:p>
      <w:pPr/>
      <w:r>
        <w:t>По группам источников разбиение составляет 5/6/9/9. В выбранных изображениях представлены 3/5/8/9 групп соответственно. Перед включением очередного изображения проверялось расстояние Хэмминга между его 64-битным dHash и хешами уже выбранных изображений. При расстоянии не более 4 кандидат исключался. Исключен один кандидат; минимальное расстояние в итоговой выборке равно 6.</w:t>
      </w:r>
    </w:p>
    <w:p>
      <w:pPr/>
      <w:r>
        <w:t>В README авторы сообщают о свободном выпуске набора и просят ссылаться на публикацию. Отдельной явной лицензии в зафиксированной версии репозитория нет. Поэтому полный набор изображений не включен в репозиторий лабораторной; для воспроизведения предусмотрена загрузка из первоисточника.</w:t>
      </w:r>
    </w:p>
    <w:p>
      <w:pPr>
        <w:pStyle w:val="Heading1"/>
        <w:pageBreakBefore/>
      </w:pPr>
      <w:r>
        <w:t>3 Порядок сравнения моделей</w:t>
      </w:r>
    </w:p>
    <w:p>
      <w:pPr/>
      <w:r>
        <w:t>Использованы Mistral Small 3.2 24B Instruct, GPT-4.1 mini и Qwen3 VL 30B A3B Instruct. Точные API-идентификаторы сохранены в protocol.json. Каталог доступных моделей и тарифов сохранен перед запуском [8, 9].</w:t>
      </w:r>
    </w:p>
    <w:p>
      <w:pPr/>
      <w:r>
        <w:t>Gemini Flash Lite заменена на Mistral после HTTP 429 на технической проверке. Изображения и инструкция по результатам этой проверки не менялись.</w:t>
      </w:r>
    </w:p>
    <w:p>
      <w:pPr/>
      <w:r>
        <w:t>Все модели получили одну англоязычную инструкцию с описанием классов. Ответ должен содержать только JSON, например {"label":"CR"}. Путь файла и правильная метка целевого изображения не передавались.</w:t>
      </w:r>
    </w:p>
    <w:p>
      <w:pPr/>
      <w:r>
        <w:t>Zero-shot содержит целевое изображение. Four-shot также содержит четыре фиксированных примера в порядке CR, LP, ND, PO. PNG передаются в base64 без аугментаций. Внутренняя обработка изображений провайдерами не контролируется.</w:t>
      </w:r>
    </w:p>
    <w:p>
      <w:pPr/>
      <w:r>
        <w:t>Параметры: temperature=0, max_tokens=80. Для каждой модели и режима выполнено 16 технических и 80 сравнительных запросов. Дообучения не было. Повторный запуск API может дать другие ответы даже при нулевой температуре.</w:t>
      </w:r>
    </w:p>
    <w:p>
      <w:pPr/>
      <w:r>
        <w:t>Для HTTP 429/502/503 разрешены три повтора. Полученные ответы, включая неправильные, не заменялись. Резервная маршрутизация отключена. Параллельность сначала составляла 8 запросов, после ограничений провайдера снижена до 4.</w:t>
      </w:r>
    </w:p>
    <w:p>
      <w:pPr>
        <w:pStyle w:val="Heading2"/>
      </w:pPr>
      <w:r>
        <w:t>3.1 Метрики и правило выбора</w:t>
      </w:r>
    </w:p>
    <w:p>
      <w:pPr/>
      <w:r>
        <w:t>Accuracy равна доле правильных ответов. Macro-F1 рассчитывается как среднее F1 четырех классов. На сбалансированной выборке balanced accuracy совпадает с accuracy. Невалидный ответ или сбой считается ошибкой; объект остается в знаменателе.</w:t>
      </w:r>
    </w:p>
    <w:p>
      <w:pPr/>
      <w:r>
        <w:t>Пропуск дефекта означает ответ ND для истинного CR, LP или PO. Его доля рассчитывается от всех дефектных изображений. Путаница между типами дефектов учитывается в Macro-F1, но не в этой доле.</w:t>
      </w:r>
    </w:p>
    <w:p>
      <w:pPr/>
      <w:r>
        <w:t>Среди four-shot моделей с долей невалидных результатов не более 5 % выбирается максимальная Macro-F1 на comparison. При равенстве предпочтение отдается меньшей доле пропусков, затем меньшей стоимости. Comparison служит выборкой отбора. Окончательная проверка выполняется на application, которая до выбора не используется.</w:t>
      </w:r>
    </w:p>
    <w:p>
      <w:pPr/>
      <w:r>
        <w:t>Стоимость взята из usage.cost, цена на 1000 изображений рассчитана пропорционально. Время включает последнюю попытку и обмен по сети, но не ожидание между повторами. Параллельность и нагрузка провайдеров различались, поэтому задержки характеризуют только этот запуск.</w:t>
      </w:r>
    </w:p>
    <w:p>
      <w:pPr>
        <w:pStyle w:val="Heading1"/>
        <w:pageBreakBefore/>
      </w:pPr>
      <w:r>
        <w:t>4 Результаты сравнения</w:t>
      </w:r>
    </w:p>
    <w:p>
      <w:pPr/>
      <w:r>
        <w:t>Результаты на 80 изображениях приведены в таблице 3. Правильный формат JSON получен во всех итоговых запросах этой части. При добавлении четырех примеров Macro-F1 выросла у всех моделей.</w:t>
      </w:r>
    </w:p>
    <w:p>
      <w:pPr>
        <w:pStyle w:val="TableCaption"/>
      </w:pPr>
      <w:r>
        <w:t>Таблица 3 - Качество на сравнительной выборке</w:t>
      </w:r>
    </w:p>
    <w:tbl>
      <w:tblPr>
        <w:tblW w:type="auto" w:w="0"/>
        <w:jc w:val="center"/>
        <w:tblLayout w:type="fixed"/>
        <w:tblLook w:firstColumn="1" w:firstRow="1" w:lastColumn="0" w:lastRow="0" w:noHBand="0" w:noVBand="1" w:val="04A0"/>
      </w:tblPr>
      <w:tblGrid>
        <w:gridCol w:w="2324"/>
        <w:gridCol w:w="1814"/>
        <w:gridCol w:w="1701"/>
        <w:gridCol w:w="1701"/>
        <w:gridCol w:w="1814"/>
      </w:tblGrid>
      <w:tr>
        <w:trPr>
          <w:cantSplit/>
          <w:tblHeader/>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Модель</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Режим</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Accuracy</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Macro-F1</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Пропуски</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Mistral Small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zero-shot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0,4625</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0,3802</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71,7 %</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Mistral Small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four-shot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0,6875</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0,6460</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16,7 %</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GPT-4.1 mini</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zero-shot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0,8250</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0,8221</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10,0 %</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GPT-4.1 mini</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four-shot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0,9000</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0,8987</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0,0 %</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Qwen3 VL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zero-shot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0,5500</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0,5006</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51,7 %</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left"/>
            </w:pPr>
            <w:r>
              <w:rPr>
                <w:rFonts w:ascii="Times New Roman" w:hAnsi="Times New Roman"/>
                <w:b w:val="0"/>
                <w:sz w:val="24"/>
              </w:rPr>
              <w:t>Qwen3 VL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four-shot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0,8375</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0,8270</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5,0 %</w:t>
            </w:r>
          </w:p>
        </w:tc>
      </w:tr>
    </w:tbl>
    <w:p>
      <w:pPr>
        <w:spacing w:line="240" w:lineRule="auto" w:after="60"/>
      </w:pPr>
      <w:r>
        <w:rPr>
          <w:sz w:val="2"/>
        </w:rPr>
        <w:t xml:space="preserve"> </w:t>
      </w:r>
    </w:p>
    <w:p>
      <w:pPr/>
      <w:r>
        <w:t>Лучший результат показала GPT-4.1 mini: Macro-F1 составила 0,8987, доля правильных ответов 90,0 %. Qwen3 VL заняла второе место с Macro-F1 0,8270. Mistral Small чаще принимала дефектные изображения за нормальные.</w:t>
      </w:r>
    </w:p>
    <w:p>
      <w:pPr/>
      <w:r>
        <w:t>Средний прирост Macro-F1 от добавления примеров составил 0,2229. По отдельным моделям прирост равен: Mistral Small 0,2658, GPT-4.1 mini 0,0766, Qwen3 VL 0,3264. H1 подтверждается точечными оценками этого запуска.</w:t>
      </w:r>
    </w:p>
    <w:p>
      <w:pPr/>
      <w:r>
        <w:t>Расходы и время ответа приведены в таблице 4. Стоимость четырех примеров оплачивается в каждом запросе, поэтому few-shot дороже zero-shot.</w:t>
      </w:r>
    </w:p>
    <w:p>
      <w:pPr>
        <w:pStyle w:val="TableCaption"/>
      </w:pPr>
      <w:r>
        <w:t>Таблица 4 - Стоимость и время запросов</w:t>
      </w:r>
    </w:p>
    <w:tbl>
      <w:tblPr>
        <w:tblW w:type="auto" w:w="0"/>
        <w:jc w:val="center"/>
        <w:tblLayout w:type="fixed"/>
        <w:tblLook w:firstColumn="1" w:firstRow="1" w:lastColumn="0" w:lastRow="0" w:noHBand="0" w:noVBand="1" w:val="04A0"/>
      </w:tblPr>
      <w:tblGrid>
        <w:gridCol w:w="2324"/>
        <w:gridCol w:w="1814"/>
        <w:gridCol w:w="1701"/>
        <w:gridCol w:w="1701"/>
        <w:gridCol w:w="1814"/>
      </w:tblGrid>
      <w:tr>
        <w:trPr>
          <w:cantSplit/>
          <w:tblHeader/>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Модель</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Режим</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USD / 1000</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Среднее, с</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p95, с</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Mistral Small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zero-shot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0,0181</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1,7194</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2,8439</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Mistral Small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four-shot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0,0466</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2,6366</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4,9880</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GPT-4.1 mini</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zero-shot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0,1068</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2,1424</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3,0437</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GPT-4.1 mini</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four-shot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0,2828</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2,7317</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5,3452</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Qwen3 VL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zero-shot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0,0305</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1,4929</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3,1811</w:t>
            </w:r>
          </w:p>
        </w:tc>
      </w:tr>
      <w:tr>
        <w:trPr>
          <w:cantSplit/>
        </w:trPr>
        <w:tc>
          <w:tcPr>
            <w:tcW w:type="dxa" w:w="232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left"/>
            </w:pPr>
            <w:r>
              <w:rPr>
                <w:rFonts w:ascii="Times New Roman" w:hAnsi="Times New Roman"/>
                <w:b w:val="0"/>
                <w:sz w:val="24"/>
              </w:rPr>
              <w:t>Qwen3 VL</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four-shot</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0,0675</w:t>
            </w:r>
          </w:p>
        </w:tc>
        <w:tc>
          <w:tcPr>
            <w:tcW w:type="dxa" w:w="170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1,7258</w:t>
            </w:r>
          </w:p>
        </w:tc>
        <w:tc>
          <w:tcPr>
            <w:tcW w:type="dxa" w:w="1814"/>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2,5348</w:t>
            </w:r>
          </w:p>
        </w:tc>
      </w:tr>
    </w:tbl>
    <w:p>
      <w:pPr>
        <w:spacing w:line="240" w:lineRule="auto" w:after="60"/>
      </w:pPr>
      <w:r>
        <w:rPr>
          <w:sz w:val="2"/>
        </w:rPr>
        <w:t xml:space="preserve"> </w:t>
      </w:r>
    </w:p>
    <w:p>
      <w:pPr>
        <w:keepNext/>
      </w:pPr>
      <w:r>
        <w:t>Матрица ошибок GPT-4.1 mini показана на рисунке 2. Строки соответствуют истинным классам, столбцы ответам модели. Столбец «Сбой» учитывает запросы без допустимой метки.</w:t>
      </w:r>
    </w:p>
    <w:p>
      <w:pPr>
        <w:keepNext/>
        <w:spacing w:line="240" w:lineRule="auto" w:before="120"/>
        <w:ind w:firstLine="0"/>
        <w:jc w:val="center"/>
      </w:pPr>
      <w:r>
        <w:drawing>
          <wp:inline>
            <wp:extent cx="4860000" cy="2250947"/>
            <wp:docPr id="2" name="Picture 2"/>
            <wp:cNvGraphicFramePr>
              <a:graphicFrameLocks noChangeAspect="1"/>
            </wp:cNvGraphicFramePr>
            <a:graphic>
              <a:graphicData uri="http://schemas.openxmlformats.org/drawingml/2006/picture">
                <pic:pic>
                  <pic:nvPicPr>
                    <pic:cNvPr id="0" name="comparison.png"/>
                    <pic:cNvPicPr/>
                  </pic:nvPicPr>
                  <pic:blipFill>
                    <a:blip r:embed="rId11"/>
                    <a:stretch>
                      <a:fillRect/>
                    </a:stretch>
                  </pic:blipFill>
                  <pic:spPr>
                    <a:xfrm>
                      <a:off x="0" y="0"/>
                      <a:ext cx="4860000" cy="2250947"/>
                    </a:xfrm>
                    <a:prstGeom prst="rect"/>
                  </pic:spPr>
                </pic:pic>
              </a:graphicData>
            </a:graphic>
          </wp:inline>
        </w:drawing>
      </w:r>
    </w:p>
    <w:p>
      <w:pPr>
        <w:pStyle w:val="FigureCaption"/>
      </w:pPr>
      <w:r>
        <w:t>Рисунок 2 - Ошибки GPT-4.1 mini на сравнительной выборке</w:t>
      </w:r>
    </w:p>
    <w:p>
      <w:pPr>
        <w:keepNext/>
      </w:pPr>
      <w:r>
        <w:t>На рисунке 3 все модели без примеров приняли изображение трещины за нормальное. После добавления четырех примеров все три модели выдали правильный класс CR.</w:t>
      </w:r>
    </w:p>
    <w:p>
      <w:pPr>
        <w:keepNext/>
        <w:spacing w:line="240" w:lineRule="auto" w:before="120"/>
        <w:ind w:firstLine="0"/>
        <w:jc w:val="center"/>
      </w:pPr>
      <w:r>
        <w:drawing>
          <wp:inline>
            <wp:extent cx="5760000" cy="1780364"/>
            <wp:docPr id="3" name="Picture 3"/>
            <wp:cNvGraphicFramePr>
              <a:graphicFrameLocks noChangeAspect="1"/>
            </wp:cNvGraphicFramePr>
            <a:graphic>
              <a:graphicData uri="http://schemas.openxmlformats.org/drawingml/2006/picture">
                <pic:pic>
                  <pic:nvPicPr>
                    <pic:cNvPr id="0" name="case1.png"/>
                    <pic:cNvPicPr/>
                  </pic:nvPicPr>
                  <pic:blipFill>
                    <a:blip r:embed="rId12"/>
                    <a:stretch>
                      <a:fillRect/>
                    </a:stretch>
                  </pic:blipFill>
                  <pic:spPr>
                    <a:xfrm>
                      <a:off x="0" y="0"/>
                      <a:ext cx="5760000" cy="1780364"/>
                    </a:xfrm>
                    <a:prstGeom prst="rect"/>
                  </pic:spPr>
                </pic:pic>
              </a:graphicData>
            </a:graphic>
          </wp:inline>
        </w:drawing>
      </w:r>
    </w:p>
    <w:p>
      <w:pPr>
        <w:pStyle w:val="FigureCaption"/>
      </w:pPr>
      <w:r>
        <w:t>Рисунок 3 - Исправление ответа после добавления примеров</w:t>
      </w:r>
    </w:p>
    <w:p>
      <w:pPr>
        <w:keepNext/>
      </w:pPr>
      <w:r>
        <w:t>На рисунке 4 примеры не помогли определить точный тип дефекта. Правильная метка изображения CR. В режиме four-shot все три модели указали LP. Этот случай учитывается как ошибка классификации, хотя изображение не было признано нормальным.</w:t>
      </w:r>
    </w:p>
    <w:p>
      <w:pPr>
        <w:keepNext/>
        <w:spacing w:line="240" w:lineRule="auto" w:before="120"/>
        <w:ind w:firstLine="0"/>
        <w:jc w:val="center"/>
      </w:pPr>
      <w:r>
        <w:drawing>
          <wp:inline>
            <wp:extent cx="5760000" cy="1780364"/>
            <wp:docPr id="4" name="Picture 4"/>
            <wp:cNvGraphicFramePr>
              <a:graphicFrameLocks noChangeAspect="1"/>
            </wp:cNvGraphicFramePr>
            <a:graphic>
              <a:graphicData uri="http://schemas.openxmlformats.org/drawingml/2006/picture">
                <pic:pic>
                  <pic:nvPicPr>
                    <pic:cNvPr id="0" name="case2.png"/>
                    <pic:cNvPicPr/>
                  </pic:nvPicPr>
                  <pic:blipFill>
                    <a:blip r:embed="rId13"/>
                    <a:stretch>
                      <a:fillRect/>
                    </a:stretch>
                  </pic:blipFill>
                  <pic:spPr>
                    <a:xfrm>
                      <a:off x="0" y="0"/>
                      <a:ext cx="5760000" cy="1780364"/>
                    </a:xfrm>
                    <a:prstGeom prst="rect"/>
                  </pic:spPr>
                </pic:pic>
              </a:graphicData>
            </a:graphic>
          </wp:inline>
        </w:drawing>
      </w:r>
    </w:p>
    <w:p>
      <w:pPr>
        <w:pStyle w:val="FigureCaption"/>
      </w:pPr>
      <w:r>
        <w:t>Рисунок 4 - Трещина ошибочно отнесена к непровару</w:t>
      </w:r>
    </w:p>
    <w:p>
      <w:pPr>
        <w:pStyle w:val="Heading1"/>
        <w:pageBreakBefore/>
      </w:pPr>
      <w:r>
        <w:t>5 Проверка выбранной модели</w:t>
      </w:r>
    </w:p>
    <w:p>
      <w:pPr/>
      <w:r>
        <w:t>GPT-4.1 mini в режиме four-shot проверена на отдельном срезе из 160 изображений, по 40 каждого класса. Это вдвое больше сравнительной выборки. В срез вошли девять других групп источников. Он относится к тому же RIAWELC и не является внешним производственным тестом.</w:t>
      </w:r>
    </w:p>
    <w:p>
      <w:pPr/>
      <w:r>
        <w:t>Основные результаты приведены в таблице 5. На новой выборке качество снизилось относительно comparison.</w:t>
      </w:r>
    </w:p>
    <w:p>
      <w:pPr>
        <w:pStyle w:val="TableCaption"/>
      </w:pPr>
      <w:r>
        <w:t>Таблица 5 - Результаты дополнительной проверки</w:t>
      </w:r>
    </w:p>
    <w:tbl>
      <w:tblPr>
        <w:tblW w:type="auto" w:w="0"/>
        <w:jc w:val="center"/>
        <w:tblLayout w:type="fixed"/>
        <w:tblLook w:firstColumn="1" w:firstRow="1" w:lastColumn="0" w:lastRow="0" w:noHBand="0" w:noVBand="1" w:val="04A0"/>
      </w:tblPr>
      <w:tblGrid>
        <w:gridCol w:w="4082"/>
        <w:gridCol w:w="2551"/>
        <w:gridCol w:w="2721"/>
      </w:tblGrid>
      <w:tr>
        <w:trPr>
          <w:cantSplit/>
          <w:tblHeader/>
        </w:trPr>
        <w:tc>
          <w:tcPr>
            <w:tcW w:type="dxa" w:w="408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Показатель</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Comparison, 80</w:t>
            </w:r>
          </w:p>
        </w:tc>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Application, 160</w:t>
            </w:r>
          </w:p>
        </w:tc>
      </w:tr>
      <w:tr>
        <w:trPr>
          <w:cantSplit/>
        </w:trPr>
        <w:tc>
          <w:tcPr>
            <w:tcW w:type="dxa" w:w="408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Macro-F1</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0,8987</w:t>
            </w:r>
          </w:p>
        </w:tc>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0,7713</w:t>
            </w:r>
          </w:p>
        </w:tc>
      </w:tr>
      <w:tr>
        <w:trPr>
          <w:cantSplit/>
        </w:trPr>
        <w:tc>
          <w:tcPr>
            <w:tcW w:type="dxa" w:w="408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Accuracy</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0,9000</w:t>
            </w:r>
          </w:p>
        </w:tc>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0,7688</w:t>
            </w:r>
          </w:p>
        </w:tc>
      </w:tr>
      <w:tr>
        <w:trPr>
          <w:cantSplit/>
        </w:trPr>
        <w:tc>
          <w:tcPr>
            <w:tcW w:type="dxa" w:w="408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Пропуски дефектов</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0,0 %</w:t>
            </w:r>
          </w:p>
        </w:tc>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1,7 %</w:t>
            </w:r>
          </w:p>
        </w:tc>
      </w:tr>
      <w:tr>
        <w:trPr>
          <w:cantSplit/>
        </w:trPr>
        <w:tc>
          <w:tcPr>
            <w:tcW w:type="dxa" w:w="408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Невалидные результаты</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0,0 %</w:t>
            </w:r>
          </w:p>
        </w:tc>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0,6 %</w:t>
            </w:r>
          </w:p>
        </w:tc>
      </w:tr>
      <w:tr>
        <w:trPr>
          <w:cantSplit/>
        </w:trPr>
        <w:tc>
          <w:tcPr>
            <w:tcW w:type="dxa" w:w="408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left"/>
            </w:pPr>
            <w:r>
              <w:rPr>
                <w:rFonts w:ascii="Times New Roman" w:hAnsi="Times New Roman"/>
                <w:b w:val="0"/>
                <w:sz w:val="24"/>
              </w:rPr>
              <w:t>Расход, USD</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0,02262</w:t>
            </w:r>
          </w:p>
        </w:tc>
        <w:tc>
          <w:tcPr>
            <w:tcW w:type="dxa" w:w="272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0,04497</w:t>
            </w:r>
          </w:p>
        </w:tc>
      </w:tr>
    </w:tbl>
    <w:p>
      <w:pPr>
        <w:spacing w:line="240" w:lineRule="auto" w:after="60"/>
      </w:pPr>
      <w:r>
        <w:rPr>
          <w:sz w:val="2"/>
        </w:rPr>
        <w:t xml:space="preserve"> </w:t>
      </w:r>
    </w:p>
    <w:p>
      <w:pPr/>
      <w:r>
        <w:t>Из 160 изображений модель правильно классифицировала 123. Два из 120 дефектных изображений получили ответ ND. Один запрос завершился тайм-аутом и учтен как ошибка. Среди полученных ответов нарушений JSON не обнаружено; стоимость запроса с тайм-аутом в локальном журнале отсутствует.</w:t>
      </w:r>
    </w:p>
    <w:p>
      <w:pPr>
        <w:keepNext/>
      </w:pPr>
      <w:r>
        <w:t>Ошибки показаны на рисунке 5, метрики классов приведены в таблице 6.</w:t>
      </w:r>
    </w:p>
    <w:p>
      <w:pPr>
        <w:keepNext/>
        <w:spacing w:line="240" w:lineRule="auto" w:before="120"/>
        <w:ind w:firstLine="0"/>
        <w:jc w:val="center"/>
      </w:pPr>
      <w:r>
        <w:drawing>
          <wp:inline>
            <wp:extent cx="5580000" cy="2584421"/>
            <wp:docPr id="5" name="Picture 5"/>
            <wp:cNvGraphicFramePr>
              <a:graphicFrameLocks noChangeAspect="1"/>
            </wp:cNvGraphicFramePr>
            <a:graphic>
              <a:graphicData uri="http://schemas.openxmlformats.org/drawingml/2006/picture">
                <pic:pic>
                  <pic:nvPicPr>
                    <pic:cNvPr id="0" name="application.png"/>
                    <pic:cNvPicPr/>
                  </pic:nvPicPr>
                  <pic:blipFill>
                    <a:blip r:embed="rId14"/>
                    <a:stretch>
                      <a:fillRect/>
                    </a:stretch>
                  </pic:blipFill>
                  <pic:spPr>
                    <a:xfrm>
                      <a:off x="0" y="0"/>
                      <a:ext cx="5580000" cy="2584421"/>
                    </a:xfrm>
                    <a:prstGeom prst="rect"/>
                  </pic:spPr>
                </pic:pic>
              </a:graphicData>
            </a:graphic>
          </wp:inline>
        </w:drawing>
      </w:r>
    </w:p>
    <w:p>
      <w:pPr>
        <w:pStyle w:val="FigureCaption"/>
      </w:pPr>
      <w:r>
        <w:t>Рисунок 5 - Ошибки на дополнительной выборке</w:t>
      </w:r>
    </w:p>
    <w:p>
      <w:pPr>
        <w:pStyle w:val="TableCaption"/>
      </w:pPr>
      <w:r>
        <w:t>Таблица 6 - Качество по классам на application</w:t>
      </w:r>
    </w:p>
    <w:tbl>
      <w:tblPr>
        <w:tblW w:type="auto" w:w="0"/>
        <w:jc w:val="center"/>
        <w:tblLayout w:type="fixed"/>
        <w:tblLook w:firstColumn="1" w:firstRow="1" w:lastColumn="0" w:lastRow="0" w:noHBand="0" w:noVBand="1" w:val="04A0"/>
      </w:tblPr>
      <w:tblGrid>
        <w:gridCol w:w="4252"/>
        <w:gridCol w:w="2551"/>
        <w:gridCol w:w="2551"/>
      </w:tblGrid>
      <w:tr>
        <w:trPr>
          <w:cantSplit/>
          <w:tblHeader/>
        </w:trPr>
        <w:tc>
          <w:tcPr>
            <w:tcW w:type="dxa" w:w="425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Класс</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Recall</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F1</w:t>
            </w:r>
          </w:p>
        </w:tc>
      </w:tr>
      <w:tr>
        <w:trPr>
          <w:cantSplit/>
        </w:trPr>
        <w:tc>
          <w:tcPr>
            <w:tcW w:type="dxa" w:w="425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CR</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0,5750</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0,5897</w:t>
            </w:r>
          </w:p>
        </w:tc>
      </w:tr>
      <w:tr>
        <w:trPr>
          <w:cantSplit/>
        </w:trPr>
        <w:tc>
          <w:tcPr>
            <w:tcW w:type="dxa" w:w="425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LP</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0,8750</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0,7447</w:t>
            </w:r>
          </w:p>
        </w:tc>
      </w:tr>
      <w:tr>
        <w:trPr>
          <w:cantSplit/>
        </w:trPr>
        <w:tc>
          <w:tcPr>
            <w:tcW w:type="dxa" w:w="425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left"/>
            </w:pPr>
            <w:r>
              <w:rPr>
                <w:rFonts w:ascii="Times New Roman" w:hAnsi="Times New Roman"/>
                <w:b w:val="0"/>
                <w:sz w:val="24"/>
              </w:rPr>
              <w:t>ND</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0,9750</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spacing w:line="240" w:lineRule="auto" w:before="40" w:after="40"/>
              <w:ind w:firstLine="0"/>
              <w:jc w:val="center"/>
            </w:pPr>
            <w:r>
              <w:rPr>
                <w:rFonts w:ascii="Times New Roman" w:hAnsi="Times New Roman"/>
                <w:b w:val="0"/>
                <w:sz w:val="24"/>
              </w:rPr>
              <w:t>0,9630</w:t>
            </w:r>
          </w:p>
        </w:tc>
      </w:tr>
      <w:tr>
        <w:trPr>
          <w:cantSplit/>
        </w:trPr>
        <w:tc>
          <w:tcPr>
            <w:tcW w:type="dxa" w:w="4252"/>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left"/>
            </w:pPr>
            <w:r>
              <w:rPr>
                <w:rFonts w:ascii="Times New Roman" w:hAnsi="Times New Roman"/>
                <w:b w:val="0"/>
                <w:sz w:val="24"/>
              </w:rPr>
              <w:t>PO</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0,6500</w:t>
            </w:r>
          </w:p>
        </w:tc>
        <w:tc>
          <w:tcPr>
            <w:tcW w:type="dxa" w:w="2551"/>
            <w:vAlign w:val="center"/>
            <w:tcBorders>
              <w:top w:val="single" w:sz="4" w:color="000000"/>
              <w:left w:val="single" w:sz="4" w:color="000000"/>
              <w:bottom w:val="single" w:sz="4" w:color="000000"/>
              <w:right w:val="single" w:sz="4" w:color="000000"/>
            </w:tcBorders>
            <w:shd w:fill="FFFFFF"/>
            <w:tcMar>
              <w:top w:w="70" w:type="dxa"/>
              <w:bottom w:w="70" w:type="dxa"/>
              <w:left w:w="70" w:type="dxa"/>
              <w:right w:w="70" w:type="dxa"/>
            </w:tcMar>
          </w:tcPr>
          <w:p>
            <w:pPr>
              <w:keepNext w:val="0"/>
              <w:spacing w:line="240" w:lineRule="auto" w:before="40" w:after="40"/>
              <w:ind w:firstLine="0"/>
              <w:jc w:val="center"/>
            </w:pPr>
            <w:r>
              <w:rPr>
                <w:rFonts w:ascii="Times New Roman" w:hAnsi="Times New Roman"/>
                <w:b w:val="0"/>
                <w:sz w:val="24"/>
              </w:rPr>
              <w:t>0,7879</w:t>
            </w:r>
          </w:p>
        </w:tc>
      </w:tr>
    </w:tbl>
    <w:p>
      <w:pPr>
        <w:spacing w:line="240" w:lineRule="auto" w:after="60"/>
      </w:pPr>
      <w:r>
        <w:rPr>
          <w:sz w:val="2"/>
        </w:rPr>
        <w:t xml:space="preserve"> </w:t>
      </w:r>
    </w:p>
    <w:p>
      <w:pPr>
        <w:keepNext/>
      </w:pPr>
      <w:r>
        <w:t>На рисунке 6 показан один из двух пропущенных дефектов. Изображение имеет метку PO, но GPT-4.1 mini выдала ND. По этому ответу нельзя установить, какие признаки модель использовала для решения.</w:t>
      </w:r>
    </w:p>
    <w:p>
      <w:pPr>
        <w:keepNext/>
        <w:spacing w:line="240" w:lineRule="auto" w:before="120"/>
        <w:ind w:firstLine="0"/>
        <w:jc w:val="center"/>
      </w:pPr>
      <w:r>
        <w:drawing>
          <wp:inline>
            <wp:extent cx="5760000" cy="1780364"/>
            <wp:docPr id="6" name="Picture 6"/>
            <wp:cNvGraphicFramePr>
              <a:graphicFrameLocks noChangeAspect="1"/>
            </wp:cNvGraphicFramePr>
            <a:graphic>
              <a:graphicData uri="http://schemas.openxmlformats.org/drawingml/2006/picture">
                <pic:pic>
                  <pic:nvPicPr>
                    <pic:cNvPr id="0" name="case3.png"/>
                    <pic:cNvPicPr/>
                  </pic:nvPicPr>
                  <pic:blipFill>
                    <a:blip r:embed="rId15"/>
                    <a:stretch>
                      <a:fillRect/>
                    </a:stretch>
                  </pic:blipFill>
                  <pic:spPr>
                    <a:xfrm>
                      <a:off x="0" y="0"/>
                      <a:ext cx="5760000" cy="1780364"/>
                    </a:xfrm>
                    <a:prstGeom prst="rect"/>
                  </pic:spPr>
                </pic:pic>
              </a:graphicData>
            </a:graphic>
          </wp:inline>
        </w:drawing>
      </w:r>
    </w:p>
    <w:p>
      <w:pPr>
        <w:pStyle w:val="FigureCaption"/>
      </w:pPr>
      <w:r>
        <w:t>Рисунок 6 - Пористость ошибочно признана отсутствием дефекта</w:t>
      </w:r>
    </w:p>
    <w:p>
      <w:pPr/>
      <w:r>
        <w:t>95%-й кластерный bootstrap-интервал Macro-F1 на application составляет от 0,5597 до 0,8949; сохранено 1930 из 2000 повторов с присутствием всех классов. Широкий интервал связан с небольшим числом групп источников.</w:t>
      </w:r>
    </w:p>
    <w:p>
      <w:pPr/>
      <w:r>
        <w:t>На сравнительной выборке 95%-й интервал Macro-F1 составляет от 0,6971 до 0,9798. Он получен кластерным bootstrap по группам исходных снимков: 2000 повторов, из них 1790 содержат все четыре класса. Небольшое число групп и выбор модели по этой же части ограничивают точность оценки.</w:t>
      </w:r>
    </w:p>
    <w:p>
      <w:pPr/>
      <w:r>
        <w:t>H2 выполнена на данном срезе: Macro-F1 выше 0,70, доля пропусков ниже 5 %. При этом одного запуска с одним набором примеров недостаточно, чтобы подтвердить устойчивость результата на других сварных соединениях.</w:t>
      </w:r>
    </w:p>
    <w:p>
      <w:pPr>
        <w:pStyle w:val="Heading1"/>
        <w:pageBreakBefore/>
      </w:pPr>
      <w:r>
        <w:t>6 Воспроизводимость эксперимента</w:t>
      </w:r>
    </w:p>
    <w:p>
      <w:pPr/>
      <w:r>
        <w:t>Код и результаты подготовлены в локальном Git-репозитории weld_llm_lab. Удаленный origin пока не назначен. После публикации в сдаваемую версию отчета нужно добавить URL репозитория.</w:t>
      </w:r>
    </w:p>
    <w:p>
      <w:pPr/>
      <w:r>
        <w:t>В manifests/ сохранены полный реестр файлов, SHA-256 изображений, рабочие выборки и разбиение групп. Данные зафиксированы на версии d53d3daf28ed3901f9db89764c030d19ced7696d официального репозитория RIAWELC. Все 19 архивов проверяются по размеру и Git blob SHA-1 перед распаковкой.</w:t>
      </w:r>
    </w:p>
    <w:p>
      <w:pPr/>
      <w:r>
        <w:t>Скрипт prepare_data.py проверяет изображения и формирует выборки. experiment.py отправляет запросы, сохраняет ответы и выбирает модель. analyze.py пересчитывает метрики и проверяет согласованность ответов с перечнем изображений. Параметры и критерии выбора находятся в protocol.json; команды запуска приведены в README.md.</w:t>
      </w:r>
    </w:p>
    <w:p>
      <w:pPr/>
      <w:r>
        <w:t>Файл results/predictions.jsonl содержит 736 итоговых записей: 96 технических, 480 сравнительных и 160 дополнительных. В нем сохранены исходный ответ, модель, провайдер, время, расход и идентификатор изображения. Отдельно сохранены исключенные предварительные попытки; повторные временные ошибки записаны в retry_attempts.</w:t>
      </w:r>
    </w:p>
    <w:p>
      <w:pPr/>
      <w:r>
        <w:t>Сумма зарегистрированных расходов составляет 0,09812 USD. В нее не могут войти расходы, для которых API не вернул usage.cost или ответ не успел сохраниться при прерывании. Поэтому локальная сумма может отличаться от учета OpenRouter. Установленный локальный предел расходов равен 0,85 USD.</w:t>
      </w:r>
    </w:p>
    <w:p>
      <w:pPr/>
      <w:r>
        <w:t>Ключ API не включен в репозиторий. Для новых запросов он передается через переменную окружения. Пересчет метрик по сохраненным ответам выполняется без ключа и не требует новых запросов.</w:t>
      </w:r>
    </w:p>
    <w:p>
      <w:pPr/>
      <w:r>
        <w:t>Версии моделей зафиксированы доступными API-идентификаторами. Провайдеры могут обновлять серверную реализацию, поэтому повторный запуск не обязан давать те же ответы и цены. Для проверки данной работы сохранены исходные ответы и снимок каталога моделей.</w:t>
      </w:r>
    </w:p>
    <w:p>
      <w:pPr>
        <w:pStyle w:val="Structural"/>
        <w:pageBreakBefore/>
      </w:pPr>
      <w:r>
        <w:t>ЗАКЛЮЧЕНИЕ</w:t>
      </w:r>
    </w:p>
    <w:p>
      <w:pPr/>
      <w:r>
        <w:t>Проведено сравнение трех мультимодальных моделей на рентгеновских изображениях сварных швов. Добавление четырех примеров повысило Macro-F1 у всех моделей. На сравнительной выборке лучший результат показала GPT-4.1 mini с Macro-F1 0,8987.</w:t>
      </w:r>
    </w:p>
    <w:p>
      <w:pPr/>
      <w:r>
        <w:t>На отдельной выборке из 160 изображений Macro-F1 выбранной модели составила 0,7713, доля правильных ответов 76,9 %. Модель пропустила два дефектных изображения. При распознавании типа дефекта она чаще ошибалась на трещинах и пористости, чем на нормальных изображениях.</w:t>
      </w:r>
    </w:p>
    <w:p>
      <w:pPr/>
      <w:r>
        <w:t>Для ВКР GPT-4.1 mini можно использовать как базовый вариант сравнения с ViT и для проверки помощи при предварительной разметке. Вывод о превосходстве над ViT не сделан: в лабораторной ViT не обучался. Автоматическая приемка швов только по ответу ND не обоснована полученными результатами.</w:t>
      </w:r>
    </w:p>
    <w:p>
      <w:pPr/>
      <w:r>
        <w:t>Следующий эксперимент должен сравнить ViT с классификатором по прототипам и мультимодальную модель на одном разбиении. Прототипы классов можно рассчитывать по признакам размеченных изображений. Для оценки зависимости от объема разметки нужны несколько наборов примеров и отдельные производственные снимки.</w:t>
      </w:r>
    </w:p>
    <w:p>
      <w:pPr/>
      <w:r>
        <w:t>Оценка ограничена четырьмя классами RIAWELC, одним support-набором и небольшим числом исходных групп. Фрагменты внутри групп зависимы. Идентификаторы физических соединений неизвестны; dHash не исключает все близкие копии. Возможное присутствие RIAWELC в предобучении API-моделей неизвестно. Локализация дефектов, калибровка вероятностей, устойчивость к перефразированию и работа на производственной линии в этом эксперименте не проверялись.</w:t>
      </w:r>
    </w:p>
    <w:p>
      <w:pPr>
        <w:pStyle w:val="Structural"/>
        <w:pageBreakBefore/>
      </w:pPr>
      <w:r>
        <w:t>СПИСОК ИСПОЛЬЗОВАННЫХ ИСТОЧНИКОВ</w:t>
      </w:r>
    </w:p>
    <w:p>
      <w:pPr>
        <w:pStyle w:val="Reference"/>
      </w:pPr>
      <w:r>
        <w:t>1 An Image is Worth 16x16 Words: Transformers for Image Recognition at Scale / A. Dosovitskiy [et al.] // International Conference on Learning Representations. 2021. URL: https://arxiv.org/abs/2010.11929 (дата обращения: 17.09.2026).</w:t>
      </w:r>
    </w:p>
    <w:p>
      <w:pPr>
        <w:pStyle w:val="Reference"/>
      </w:pPr>
      <w:r>
        <w:t>2 Snell J. Prototypical Networks for Few-shot Learning / J. Snell, K. Swersky, R. Zemel // Advances in Neural Information Processing Systems. 2017. Vol. 30. URL: https://arxiv.org/abs/1703.05175 (дата обращения: 17.09.2026).</w:t>
      </w:r>
    </w:p>
    <w:p>
      <w:pPr>
        <w:pStyle w:val="Reference"/>
      </w:pPr>
      <w:r>
        <w:t>3 Language Models are Few-Shot Learners / T. B. Brown [et al.] // Advances in Neural Information Processing Systems. 2020. Vol. 33. URL: https://arxiv.org/abs/2005.14165 (дата обращения: 17.09.2026).</w:t>
      </w:r>
    </w:p>
    <w:p>
      <w:pPr>
        <w:pStyle w:val="Reference"/>
      </w:pPr>
      <w:r>
        <w:t>4 Flamingo: a Visual Language Model for Few-Shot Learning / J.-B. Alayrac [et al.] // Advances in Neural Information Processing Systems. 2022. Vol. 35. URL: https://arxiv.org/abs/2204.14198 (дата обращения: 17.09.2026).</w:t>
      </w:r>
    </w:p>
    <w:p>
      <w:pPr>
        <w:pStyle w:val="Reference"/>
      </w:pPr>
      <w:r>
        <w:t>5 Multiclass Evaluation of Vision Transformers for Industrial Welding Defect Detection / A. Contreras Ortiz, R. Rioda Santiago, D. E. Hernandez, M. Lopez-Montiel // Mathematical and Computational Applications. 2025. Vol. 30, № 2. Article 24. DOI: 10.3390/mca30020024.</w:t>
      </w:r>
    </w:p>
    <w:p>
      <w:pPr>
        <w:pStyle w:val="Reference"/>
      </w:pPr>
      <w:r>
        <w:t>6 Totino B. RIAWELC: A Novel Dataset of Radiographic Images for Automatic Weld Defects Classification / B. Totino, F. Spagnolo, S. Perri // International Journal of Electrical and Computer Engineering Research. 2023. Vol. 3, № 1. DOI: 10.53375/ijecer.2023.320.</w:t>
      </w:r>
    </w:p>
    <w:p>
      <w:pPr>
        <w:pStyle w:val="Reference"/>
      </w:pPr>
      <w:r>
        <w:t>7 RIAWELC : официальный репозиторий данных // GitHub. URL: https://github.com/stefyste/RIAWELC (дата обращения: 17.09.2026).</w:t>
      </w:r>
    </w:p>
    <w:p>
      <w:pPr>
        <w:pStyle w:val="Reference"/>
      </w:pPr>
      <w:r>
        <w:t>8 OpenRouter API Reference : документация API. URL: https://openrouter.ai/docs/api/reference/overview (дата обращения: 17.09.2026).</w:t>
      </w:r>
    </w:p>
    <w:p>
      <w:pPr>
        <w:pStyle w:val="Reference"/>
      </w:pPr>
      <w:r>
        <w:t>9 OpenRouter Models : каталог моделей и тарифов API. URL: https://openrouter.ai/api/v1/models (дата обращения: 17.09.2026).</w:t>
      </w:r>
    </w:p>
    <w:sectPr>
      <w:footerReference r:id="rId9" w:type="default"/>
      <w:headerReference w:type="default" r:id="rId6"/>
      <w:headerReference w:type="first" r:id="rId7"/>
      <w:footerReference w:type="first" r:id="rId8"/>
      <w:pgSz w:h="16838" w:w="11906" w:orient="portrait"/>
      <w:pgMar w:bottom="1134" w:top="1134" w:left="1701" w:right="850" w:header="567" w:footer="567"/>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ind w:firstLine="0"/>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ru"/>
      </w:rPr>
    </w:rPrDefault>
    <w:pPrDefault>
      <w:pPr>
        <w:spacing w:after="120" w:line="360" w:lineRule="auto"/>
        <w:ind w:firstLine="709"/>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before="0" w:after="0" w:line="360" w:lineRule="auto"/>
      <w:ind w:firstLine="709"/>
      <w:jc w:val="both"/>
    </w:pPr>
    <w:rPr>
      <w:rFonts w:ascii="Times New Roman" w:hAnsi="Times New Roman" w:eastAsia="Times New Roman" w:cs="Times New Roman"/>
      <w:b w:val="0"/>
      <w:i w:val="0"/>
      <w:color w:val="000000"/>
      <w:sz w:val="24"/>
    </w:rPr>
  </w:style>
  <w:style w:type="paragraph" w:styleId="Heading1">
    <w:name w:val="heading 1"/>
    <w:basedOn w:val="Normal"/>
    <w:next w:val="Normal"/>
    <w:pPr>
      <w:keepNext/>
      <w:keepLines w:val="1"/>
      <w:widowControl/>
      <w:spacing w:after="240" w:before="0" w:line="360" w:lineRule="auto"/>
      <w:ind w:firstLine="709"/>
      <w:jc w:val="left"/>
    </w:pPr>
    <w:rPr>
      <w:rFonts w:ascii="Times New Roman" w:cs="Times New Roman" w:eastAsia="Times New Roman" w:hAnsi="Times New Roman"/>
      <w:b/>
      <w:bCs w:val="1"/>
      <w:i w:val="0"/>
      <w:color w:val="000000"/>
      <w:sz w:val="24"/>
      <w:szCs w:val="26"/>
    </w:rPr>
  </w:style>
  <w:style w:type="paragraph" w:styleId="Heading2">
    <w:name w:val="heading 2"/>
    <w:basedOn w:val="Normal"/>
    <w:next w:val="Normal"/>
    <w:pPr>
      <w:keepNext/>
      <w:keepLines w:val="1"/>
      <w:widowControl/>
      <w:spacing w:after="120" w:before="240" w:line="360" w:lineRule="auto"/>
      <w:ind w:firstLine="709"/>
      <w:jc w:val="left"/>
    </w:pPr>
    <w:rPr>
      <w:rFonts w:ascii="Times New Roman" w:cs="Times New Roman" w:eastAsia="Times New Roman" w:hAnsi="Times New Roman"/>
      <w:b/>
      <w:bCs w:val="1"/>
      <w:i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00000"/>
    </w:rPr>
  </w:style>
  <w:style w:type="paragraph" w:styleId="Heading5">
    <w:name w:val="heading 5"/>
    <w:basedOn w:val="Normal"/>
    <w:next w:val="Normal"/>
    <w:pPr>
      <w:keepNext w:val="1"/>
      <w:keepLines w:val="1"/>
      <w:spacing w:after="0" w:before="200" w:lineRule="auto"/>
    </w:pPr>
    <w:rPr>
      <w:rFonts w:ascii="Calibri" w:cs="Calibri" w:eastAsia="Calibri" w:hAnsi="Calibri"/>
      <w:color w:val="000000"/>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00000"/>
    </w:rPr>
  </w:style>
  <w:style w:type="paragraph" w:styleId="Title">
    <w:name w:val="Title"/>
    <w:basedOn w:val="Normal"/>
    <w:next w:val="Normal"/>
    <w:pPr>
      <w:widowControl/>
      <w:spacing w:after="0" w:before="0" w:line="360" w:lineRule="auto"/>
      <w:ind w:firstLine="0"/>
      <w:jc w:val="center"/>
    </w:pPr>
    <w:rPr>
      <w:rFonts w:ascii="Times New Roman" w:cs="Times New Roman" w:eastAsia="Times New Roman" w:hAnsi="Times New Roman"/>
      <w:b/>
      <w:bCs w:val="1"/>
      <w:i w:val="0"/>
      <w:color w:val="000000"/>
      <w:sz w:val="28"/>
      <w:szCs w:val="30"/>
    </w:rPr>
  </w:style>
  <w:style w:type="paragraph" w:styleId="Subtitle">
    <w:name w:val="Subtitle"/>
    <w:basedOn w:val="Normal"/>
    <w:next w:val="Normal"/>
    <w:pPr/>
    <w:rPr>
      <w:rFonts w:ascii="Calibri" w:cs="Calibri" w:eastAsia="Calibri" w:hAnsi="Calibri"/>
      <w:i w:val="1"/>
      <w:iCs w:val="1"/>
      <w:color w:val="00000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customStyle="1" w:styleId="Structural">
    <w:name w:val="Structural"/>
    <w:pPr>
      <w:keepNext/>
      <w:widowControl/>
      <w:spacing w:before="0" w:after="240" w:line="360" w:lineRule="auto"/>
      <w:ind w:firstLine="0"/>
      <w:jc w:val="center"/>
    </w:pPr>
    <w:rPr>
      <w:rFonts w:ascii="Times New Roman" w:hAnsi="Times New Roman" w:eastAsia="Times New Roman" w:cs="Times New Roman"/>
      <w:b/>
      <w:i w:val="0"/>
      <w:color w:val="000000"/>
      <w:sz w:val="24"/>
    </w:rPr>
  </w:style>
  <w:style w:type="paragraph" w:customStyle="1" w:styleId="FigureCaption">
    <w:name w:val="Figure Caption"/>
    <w:pPr>
      <w:widowControl/>
      <w:spacing w:before="0" w:after="160" w:line="240" w:lineRule="auto"/>
      <w:ind w:firstLine="0"/>
      <w:jc w:val="center"/>
    </w:pPr>
    <w:rPr>
      <w:rFonts w:ascii="Times New Roman" w:hAnsi="Times New Roman" w:eastAsia="Times New Roman" w:cs="Times New Roman"/>
      <w:b w:val="0"/>
      <w:i w:val="0"/>
      <w:color w:val="000000"/>
      <w:sz w:val="24"/>
    </w:rPr>
  </w:style>
  <w:style w:type="paragraph" w:customStyle="1" w:styleId="TableCaption">
    <w:name w:val="Table Caption"/>
    <w:pPr>
      <w:keepNext/>
      <w:widowControl/>
      <w:spacing w:before="160" w:after="80" w:line="240" w:lineRule="auto"/>
      <w:ind w:firstLine="0"/>
      <w:jc w:val="left"/>
    </w:pPr>
    <w:rPr>
      <w:rFonts w:ascii="Times New Roman" w:hAnsi="Times New Roman" w:eastAsia="Times New Roman" w:cs="Times New Roman"/>
      <w:b w:val="0"/>
      <w:i w:val="0"/>
      <w:color w:val="000000"/>
      <w:sz w:val="24"/>
    </w:rPr>
  </w:style>
  <w:style w:type="paragraph" w:customStyle="1" w:styleId="TOCEntry">
    <w:name w:val="TOC Entry"/>
    <w:pPr>
      <w:widowControl/>
      <w:spacing w:before="0" w:after="0" w:line="360" w:lineRule="auto"/>
      <w:ind w:firstLine="0"/>
      <w:jc w:val="left"/>
    </w:pPr>
    <w:rPr>
      <w:rFonts w:ascii="Times New Roman" w:hAnsi="Times New Roman" w:eastAsia="Times New Roman" w:cs="Times New Roman"/>
      <w:b w:val="0"/>
      <w:i w:val="0"/>
      <w:color w:val="000000"/>
      <w:sz w:val="24"/>
    </w:rPr>
  </w:style>
  <w:style w:type="paragraph" w:customStyle="1" w:styleId="Reference">
    <w:name w:val="Reference"/>
    <w:pPr>
      <w:widowControl/>
      <w:spacing w:before="0" w:after="120" w:line="360" w:lineRule="auto"/>
      <w:ind w:firstLine="709"/>
      <w:jc w:val="both"/>
    </w:pPr>
    <w:rPr>
      <w:rFonts w:ascii="Times New Roman" w:hAnsi="Times New Roman" w:eastAsia="Times New Roman" w:cs="Times New Roman"/>
      <w:b w:val="0"/>
      <w:i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2.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Большие языковые модели для контроля качества сварных швов</dc:title>
  <cp:lastModifiedBy>python-docx</cp:lastModifiedBy>
  <cp:revision>1</cp:revision>
  <dcterms:modified xsi:type="dcterms:W3CDTF">2026-09-17T17:23:21Z</dcterms:modified>
  <dc:creator>Азаров Владимир Сергеевич</dc:creator>
  <dc:subject>Лабораторная работа 1</dc:subject>
  <dc:description/>
</cp:coreProperties>
</file>