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0"/>
        <w:ind w:firstLine="0"/>
        <w:jc w:val="center"/>
      </w:pPr>
      <w:r>
        <w:rPr>
          <w:b w:val="0"/>
          <w:sz w:val="24"/>
        </w:rPr>
        <w:t>Финансовый университет при Правительстве</w:t>
        <w:br/>
        <w:t>Российской Федерации</w:t>
      </w:r>
    </w:p>
    <w:p>
      <w:pPr>
        <w:spacing w:before="240" w:after="0"/>
        <w:ind w:firstLine="0"/>
        <w:jc w:val="center"/>
      </w:pPr>
      <w:r>
        <w:rPr>
          <w:b w:val="0"/>
          <w:sz w:val="24"/>
        </w:rPr>
        <w:t>Дисциплина «Прикладные задачи машинного обучения»</w:t>
      </w:r>
    </w:p>
    <w:p>
      <w:pPr>
        <w:spacing w:before="1300" w:after="0"/>
        <w:ind w:firstLine="0"/>
        <w:jc w:val="center"/>
      </w:pPr>
      <w:r>
        <w:rPr>
          <w:b/>
          <w:sz w:val="28"/>
        </w:rPr>
        <w:t>ОТЧЕТ</w:t>
      </w:r>
    </w:p>
    <w:p>
      <w:pPr>
        <w:spacing w:before="0" w:after="240"/>
        <w:ind w:firstLine="0"/>
        <w:jc w:val="center"/>
      </w:pPr>
      <w:r>
        <w:rPr>
          <w:b w:val="0"/>
          <w:sz w:val="24"/>
        </w:rPr>
        <w:t>по лабораторной работе № 1</w:t>
      </w:r>
    </w:p>
    <w:p>
      <w:pPr>
        <w:pStyle w:val="Title"/>
      </w:pPr>
      <w:r>
        <w:t>Большие языковые модели</w:t>
        <w:br/>
        <w:t>в предметной области ВКР</w:t>
      </w:r>
    </w:p>
    <w:p>
      <w:pPr>
        <w:spacing w:before="360" w:after="0"/>
        <w:ind w:firstLine="0"/>
        <w:jc w:val="center"/>
      </w:pPr>
      <w:r>
        <w:rPr>
          <w:b w:val="0"/>
          <w:sz w:val="24"/>
        </w:rPr>
        <w:t>Тема ВКР</w:t>
      </w:r>
    </w:p>
    <w:p>
      <w:pPr>
        <w:spacing w:before="0" w:after="0"/>
        <w:ind w:firstLine="0"/>
        <w:jc w:val="center"/>
      </w:pPr>
      <w:r>
        <w:rPr>
          <w:b w:val="0"/>
          <w:sz w:val="24"/>
        </w:rPr>
        <w:t>Разработка системы компьютерного зрения для контроля качества сварных швов на основе архитектуры Vision Transformer (ViT) и методов Few-Shot Learning</w:t>
      </w:r>
    </w:p>
    <w:p>
      <w:pPr>
        <w:spacing w:before="500"/>
        <w:ind w:firstLine="0" w:left="3402"/>
        <w:jc w:val="left"/>
      </w:pPr>
      <w:r>
        <w:t>Выполнили:</w:t>
        <w:br/>
        <w:t>Азаров Владимир Сергеевич</w:t>
        <w:br/>
        <w:t>Грингруз Даниил Михайлович</w:t>
        <w:br/>
        <w:t>Кузнецов Дмитрий Сергеевич</w:t>
        <w:br/>
        <w:t>Лукьянчиков Павел Максимович</w:t>
        <w:br/>
        <w:t>Группа: ПМ23-2</w:t>
      </w:r>
    </w:p>
    <w:p>
      <w:pPr>
        <w:spacing w:before="600" w:after="0"/>
        <w:ind w:firstLine="0"/>
        <w:jc w:val="center"/>
      </w:pPr>
      <w:r>
        <w:rPr>
          <w:b w:val="0"/>
          <w:sz w:val="24"/>
        </w:rPr>
        <w:t>Москва 2026</w:t>
      </w:r>
    </w:p>
    <w:p>
      <w:pPr>
        <w:pStyle w:val="Structural"/>
        <w:pageBreakBefore/>
      </w:pPr>
      <w:r>
        <w:t>РЕФЕРАТ</w:t>
      </w:r>
    </w:p>
    <w:p>
      <w:pPr/>
      <w:r>
        <w:t>Отчет 11 с., 3 рис., 6 табл., 10 источников.</w:t>
      </w:r>
    </w:p>
    <w:p>
      <w:pPr/>
      <w:r>
        <w:t>СВАРНОЙ ШОВ, РЕНТГЕНОГРАММА, МУЛЬТИМОДАЛЬНАЯ ЯЗЫКОВАЯ МОДЕЛЬ, FEW-SHOT LEARNING</w:t>
      </w:r>
    </w:p>
    <w:p>
      <w:pPr/>
      <w:r>
        <w:t>Семь мультимодальных моделей проверены на 80 изображениях RIAWELC без примеров и с четырьмя размеченными примерами в запросе. Веса моделей не изменялись. Рассмотрены десять научных источников и составлена матрица литературы.</w:t>
      </w:r>
    </w:p>
    <w:p>
      <w:pPr/>
      <w:r>
        <w:t>Лучшей выбрана GPT-4.1 mini в режиме four-shot: Macro-F1 0,8987. На отдельной выборке из 160 изображений Macro-F1 составила 0,7713, accuracy 76,9 %.</w:t>
      </w:r>
    </w:p>
    <w:p>
      <w:pPr>
        <w:pStyle w:val="Structural"/>
        <w:pageBreakBefore/>
      </w:pPr>
      <w:r>
        <w:t>СОДЕРЖАНИЕ</w:t>
      </w:r>
    </w:p>
    <w:p>
      <w:pPr>
        <w:pStyle w:val="TOCEntry"/>
        <w:tabs>
          <w:tab w:pos="9298" w:val="right" w:leader="dot"/>
        </w:tabs>
      </w:pPr>
      <w:r>
        <w:t>ВВЕДЕНИЕ</w:t>
        <w:tab/>
        <w:t>4</w:t>
      </w:r>
    </w:p>
    <w:p>
      <w:pPr>
        <w:pStyle w:val="TOCEntry"/>
        <w:tabs>
          <w:tab w:pos="9298" w:val="right" w:leader="dot"/>
        </w:tabs>
      </w:pPr>
      <w:r>
        <w:t>1 Обзор исследований</w:t>
        <w:tab/>
        <w:t>5</w:t>
      </w:r>
    </w:p>
    <w:p>
      <w:pPr>
        <w:pStyle w:val="TOCEntry"/>
        <w:tabs>
          <w:tab w:pos="9298" w:val="right" w:leader="dot"/>
        </w:tabs>
      </w:pPr>
      <w:r>
        <w:t>2 Исходный датасет</w:t>
        <w:tab/>
        <w:t>6</w:t>
      </w:r>
    </w:p>
    <w:p>
      <w:pPr>
        <w:pStyle w:val="TOCEntry"/>
        <w:tabs>
          <w:tab w:pos="9298" w:val="right" w:leader="dot"/>
        </w:tabs>
      </w:pPr>
      <w:r>
        <w:t>3 Порядок сравнения</w:t>
        <w:tab/>
        <w:t>7</w:t>
      </w:r>
    </w:p>
    <w:p>
      <w:pPr>
        <w:pStyle w:val="TOCEntry"/>
        <w:tabs>
          <w:tab w:pos="9298" w:val="right" w:leader="dot"/>
        </w:tabs>
      </w:pPr>
      <w:r>
        <w:t>4 Результаты сравнения</w:t>
        <w:tab/>
        <w:t>8</w:t>
      </w:r>
    </w:p>
    <w:p>
      <w:pPr>
        <w:pStyle w:val="TOCEntry"/>
        <w:tabs>
          <w:tab w:pos="9298" w:val="right" w:leader="dot"/>
        </w:tabs>
      </w:pPr>
      <w:r>
        <w:t>5 Проверка выбранной модели</w:t>
        <w:tab/>
        <w:t>9</w:t>
      </w:r>
    </w:p>
    <w:p>
      <w:pPr>
        <w:pStyle w:val="TOCEntry"/>
        <w:tabs>
          <w:tab w:pos="9298" w:val="right" w:leader="dot"/>
        </w:tabs>
      </w:pPr>
      <w:r>
        <w:t>ЗАКЛЮЧЕНИЕ</w:t>
        <w:tab/>
        <w:t>10</w:t>
      </w:r>
    </w:p>
    <w:p>
      <w:pPr>
        <w:pStyle w:val="TOCEntry"/>
        <w:tabs>
          <w:tab w:pos="9298" w:val="right" w:leader="dot"/>
        </w:tabs>
      </w:pPr>
      <w:r>
        <w:t>СПИСОК ИСПОЛЬЗОВАННЫХ ИСТОЧНИКОВ</w:t>
        <w:tab/>
        <w:t>11</w:t>
      </w:r>
    </w:p>
    <w:p>
      <w:pPr>
        <w:pStyle w:val="Structural"/>
        <w:pageBreakBefore/>
      </w:pPr>
      <w:r>
        <w:t>ВВЕДЕНИЕ</w:t>
      </w:r>
    </w:p>
    <w:p>
      <w:pPr/>
      <w:r>
        <w:t>Цель работы: сравнить семь мультимодальных языковых моделей для классификации дефектов сварных швов и измерить влияние примеров в запросе.</w:t>
      </w:r>
    </w:p>
    <w:p>
      <w:pPr/>
      <w:r>
        <w:t>Использованы четыре класса: трещина (CR), непровар (LP), отсутствие дефекта (ND) и пористость (PO). Zero-shot содержит инструкцию и целевое изображение. Four-shot дополнительно содержит по одному размеченному изображению каждого класса.</w:t>
      </w:r>
    </w:p>
    <w:p>
      <w:pPr/>
      <w:r>
        <w:t>Исследовательский вопрос: повышают ли четыре примера Macro-F1? H1: средний прирост Macro-F1 по семи моделям положителен. H2: выбранная four-shot модель получает Macro-F1 не ниже 0,70 и пропускает не более 5 % дефектов на отдельной выборке. Это исследовательские пороги, а не нормативы приемки швов.</w:t>
      </w:r>
    </w:p>
    <w:p>
      <w:pPr/>
      <w:r>
        <w:t>Эксперимент выполнен 17 сентября 2026 г. через OpenRouter. Обучение ViT не проводилось. После первоначального сравнения трех моделей добавлены четыре модели. Промпт, примеры и разбиение данных сохранены; выбор победителя производится только по сравнительной выборке.</w:t>
      </w:r>
    </w:p>
    <w:p>
      <w:pPr>
        <w:pStyle w:val="Heading1"/>
        <w:pageBreakBefore/>
      </w:pPr>
      <w:r>
        <w:t>1 Обзор исследований</w:t>
      </w:r>
    </w:p>
    <w:p>
      <w:pPr/>
      <w:r>
        <w:t>Поиск: "weld defect" AND ("vision transformer" OR "few-shot learning"), "radiographic weld defect dataset RIAWELC", "visual language model few-shot learning", "industrial anomaly detection". Матрица десяти работ приведена в таблице 1. В них нет сравнения выбранных семи API-моделей на одном разбиении RIAWELC с учетом расходов.</w:t>
      </w:r>
    </w:p>
    <w:p>
      <w:pPr>
        <w:pStyle w:val="TableCaption"/>
      </w:pPr>
      <w:r>
        <w:t>Таблица 1 - Матрица литературы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891"/>
        <w:gridCol w:w="4139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Источник</w:t>
            </w:r>
          </w:p>
        </w:tc>
        <w:tc>
          <w:tcPr>
            <w:tcW w:type="dxa" w:w="289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Метод и данные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Результат и ограничение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[1] Dosovitskiy et al., 2021</w:t>
            </w:r>
          </w:p>
        </w:tc>
        <w:tc>
          <w:tcPr>
            <w:tcW w:type="dxa" w:w="289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ViT; классификация изображений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Трансформер обрабатывает патчи изображения. Нет проверки на RIAWELC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[2] Snell et al., 2017</w:t>
            </w:r>
          </w:p>
        </w:tc>
        <w:tc>
          <w:tcPr>
            <w:tcW w:type="dxa" w:w="289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Prototypical Networks; few-shot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Класс определяется по расстоянию до прототипа. Нужен обученный экстрактор признаков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[3] Brown et al., 2020</w:t>
            </w:r>
          </w:p>
        </w:tc>
        <w:tc>
          <w:tcPr>
            <w:tcW w:type="dxa" w:w="289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GPT-3; примеры в запросе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Адаптация к задаче без обновления весов. В работе оцениваются языковые задачи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[4] Alayrac et al., 2022</w:t>
            </w:r>
          </w:p>
        </w:tc>
        <w:tc>
          <w:tcPr>
            <w:tcW w:type="dxa" w:w="289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Flamingo; изображения и текст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Визуальное обучение по примерам в контексте. Нет оценки сварных швов в нашем протоколе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[5] Contreras Ortiz et al., 2025</w:t>
            </w:r>
          </w:p>
        </w:tc>
        <w:tc>
          <w:tcPr>
            <w:tcW w:type="dxa" w:w="289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ViT; Aluminium 5083 TIG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Сравнение при разных объемах обучения. Другой набор и режим обучения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[6] Totino et al., 2023</w:t>
            </w:r>
          </w:p>
        </w:tc>
        <w:tc>
          <w:tcPr>
            <w:tcW w:type="dxa" w:w="289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RIAWELC; четыре класса сварных швов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Описан набор рентгеновских фрагментов. Исходное разбиение проверяется на копии отдельно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[7] Oquab et al., 2023</w:t>
            </w:r>
          </w:p>
        </w:tc>
        <w:tc>
          <w:tcPr>
            <w:tcW w:type="dxa" w:w="289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DINOv2; ViT без разметки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Перенос визуальных признаков на другие задачи. Не готовый классификатор дефектов сварки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[8] Jeong et al., 2023</w:t>
            </w:r>
          </w:p>
        </w:tc>
        <w:tc>
          <w:tcPr>
            <w:tcW w:type="dxa" w:w="289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WinCLIP; MVTec-AD и VisA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Zero-shot и few-normal-shot поиск аномалий. Метрики аномалий не равны четырехклассовому F1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[9] Gu et al., 2024</w:t>
            </w:r>
          </w:p>
        </w:tc>
        <w:tc>
          <w:tcPr>
            <w:tcW w:type="dxa" w:w="289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AnomalyGPT; MVTec-AD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VLM с декодером и адаптацией промпта. Использует специальную подготовку модели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[10] Bai et al., 2025</w:t>
            </w:r>
          </w:p>
        </w:tc>
        <w:tc>
          <w:tcPr>
            <w:tcW w:type="dxa" w:w="289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Qwen3-VL; dense и MoE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Семейство моделей для текста и изображений. Общие бенчмарки не заменяют проверку RIAWELC</w:t>
            </w:r>
          </w:p>
        </w:tc>
      </w:tr>
    </w:tbl>
    <w:p>
      <w:pPr>
        <w:pStyle w:val="Spacer"/>
      </w:pPr>
      <w:r>
        <w:t xml:space="preserve"> </w:t>
      </w:r>
    </w:p>
    <w:p>
      <w:pPr>
        <w:pStyle w:val="Heading1"/>
        <w:pageBreakBefore/>
      </w:pPr>
      <w:r>
        <w:t>2 Исходный датасет</w:t>
      </w:r>
    </w:p>
    <w:p>
      <w:pPr/>
      <w:r>
        <w:t>RIAWELC [6] содержит 24 407 рентгеновских фрагментов (таблица 2). Все файлы открылись, имеют один канал и размер 227×227; в README указано 224×224. Пропусков меток нет. Явной лицензии нет; README указывает свободный выпуск. Источник: https://github.com/stefyste/RIAWELC.</w:t>
      </w:r>
    </w:p>
    <w:p>
      <w:pPr>
        <w:pStyle w:val="TableCaption"/>
      </w:pPr>
      <w:r>
        <w:t>Таблица 2 - Состав RIAWELC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912"/>
        <w:gridCol w:w="1984"/>
        <w:gridCol w:w="2551"/>
      </w:tblGrid>
      <w:tr>
        <w:trPr>
          <w:cantSplit/>
          <w:tblHeader/>
        </w:trPr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Класс</w:t>
            </w:r>
          </w:p>
        </w:tc>
        <w:tc>
          <w:tcPr>
            <w:tcW w:type="dxa" w:w="391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Описание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Файлов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Уникальных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CR</w:t>
            </w:r>
          </w:p>
        </w:tc>
        <w:tc>
          <w:tcPr>
            <w:tcW w:type="dxa" w:w="391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Трещина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7635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6816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LP</w:t>
            </w:r>
          </w:p>
        </w:tc>
        <w:tc>
          <w:tcPr>
            <w:tcW w:type="dxa" w:w="391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Непровар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4452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4001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ND</w:t>
            </w:r>
          </w:p>
        </w:tc>
        <w:tc>
          <w:tcPr>
            <w:tcW w:type="dxa" w:w="391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Нет дефекта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6000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5396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PO</w:t>
            </w:r>
          </w:p>
        </w:tc>
        <w:tc>
          <w:tcPr>
            <w:tcW w:type="dxa" w:w="391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Пористость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6320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5680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Всего</w:t>
            </w:r>
          </w:p>
        </w:tc>
        <w:tc>
          <w:tcPr>
            <w:tcW w:type="dxa" w:w="391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24407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21893</w:t>
            </w:r>
          </w:p>
        </w:tc>
      </w:tr>
    </w:tbl>
    <w:p>
      <w:pPr>
        <w:pStyle w:val="Spacer"/>
      </w:pPr>
      <w:r>
        <w:t xml:space="preserve"> </w:t>
      </w:r>
    </w:p>
    <w:p>
      <w:pPr/>
      <w:r>
        <w:t>SHA-256 пикселей выявил 2 514 повторов; 2 465 групп копий пересекают исходные части. Противоречивых меток нет. После удаления копий данные разделены по 29 префиксам имен до «_Img». Префиксы частей не пересекаются. Дат съемки нет.</w:t>
      </w:r>
    </w:p>
    <w:p>
      <w:pPr/>
      <w:r>
        <w:t>Метки папок проверены по численности в [6] и примерам. Дисбаланс: 1,72. Рабочие части сбалансированы, seed=17092026 (таблица 3).</w:t>
      </w:r>
    </w:p>
    <w:p>
      <w:pPr>
        <w:pStyle w:val="TableCaption"/>
      </w:pPr>
      <w:r>
        <w:t>Таблица 3 - Рабочие выборки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1134"/>
        <w:gridCol w:w="1361"/>
        <w:gridCol w:w="4139"/>
      </w:tblGrid>
      <w:tr>
        <w:trPr>
          <w:cantSplit/>
          <w:tblHeader/>
        </w:trPr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Часть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Всего</w:t>
            </w:r>
          </w:p>
        </w:tc>
        <w:tc>
          <w:tcPr>
            <w:tcW w:type="dxa" w:w="13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На класс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Support / train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3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Примеры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Validation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3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Проверка API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Test / comparison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13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Сравнение и выбор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Application</w:t>
            </w:r>
          </w:p>
        </w:tc>
        <w:tc>
          <w:tcPr>
            <w:tcW w:type="dxa" w:w="113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  <w:tc>
          <w:tcPr>
            <w:tcW w:type="dxa" w:w="136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413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Проверка победителя</w:t>
            </w:r>
          </w:p>
        </w:tc>
      </w:tr>
    </w:tbl>
    <w:p>
      <w:pPr>
        <w:pStyle w:val="Spacer"/>
      </w:pPr>
      <w:r>
        <w:t xml:space="preserve"> </w:t>
      </w:r>
    </w:p>
    <w:p>
      <w:pPr>
        <w:keepNext/>
      </w:pPr>
      <w:r>
        <w:t>Пары с расстоянием dHash ≤4 исключались: отклонен один кандидат, минимум в выборке равен 6. Примеры показаны на рисунке 1.</w:t>
      </w:r>
    </w:p>
    <w:p>
      <w:pPr>
        <w:keepNext/>
        <w:spacing w:line="240" w:lineRule="auto" w:before="120"/>
        <w:ind w:firstLine="0"/>
        <w:jc w:val="center"/>
      </w:pPr>
      <w:r>
        <w:drawing>
          <wp:inline>
            <wp:extent cx="3600000" cy="110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10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1 - Примеры классов для режима four-shot</w:t>
      </w:r>
    </w:p>
    <w:p>
      <w:pPr>
        <w:pStyle w:val="Heading1"/>
        <w:pageBreakBefore/>
      </w:pPr>
      <w:r>
        <w:t>3 Порядок сравнения</w:t>
      </w:r>
    </w:p>
    <w:p>
      <w:pPr/>
      <w:r>
        <w:t>Проверены Mistral Small 3.2 24B Instruct, GPT-4.1 mini, GPT-4.1 nano, Amazon Nova Lite, Qwen3 VL 8B Instruct, Qwen3 VL 32B Instruct и Qwen3 VL 30B A3B Instruct. Разные размеры Qwen являются разными моделями одного семейства [10]. Точные API-идентификаторы сохранены в protocol.json.</w:t>
      </w:r>
    </w:p>
    <w:p>
      <w:pPr/>
      <w:r>
        <w:t>Все модели получали одну англоязычную инструкцию. Требуемый ответ: JSON вида {"label":"CR"}. Имя файла и правильная метка целевого изображения не передавались. Four-shot использует фиксированные примеры в порядке CR, LP, ND, PO. PNG передаются без аугментаций.</w:t>
      </w:r>
    </w:p>
    <w:p>
      <w:pPr/>
      <w:r>
        <w:t>Параметры: temperature=0, max_tokens=80. Для каждой модели и режима выполнены 16 технических и 80 сравнительных запросов. Для HTTP 429/502/503 разрешены три повтора. Резервная маршрутизация отключена. Полученные ответы не заменялись.</w:t>
      </w:r>
    </w:p>
    <w:p>
      <w:pPr/>
      <w:r>
        <w:t>Accuracy равна доле правильных ответов; Macro-F1 рассчитывается как среднее F1 четырех классов. Ответ с Markdown-оберткой, неверным JSON или техническим сбоем считается ошибкой. Для диагностики отдельно рассчитаны метрики после удаления только внешней Markdown-обертки; эти значения не участвуют в выборе модели.</w:t>
      </w:r>
    </w:p>
    <w:p>
      <w:pPr/>
      <w:r>
        <w:t>Среди four-shot моделей с долей невалидных результатов не выше 5 % выбирается максимальная Macro-F1 на comparison. При равенстве учитываются пропуски дефектов, затем стоимость. Пропуск означает ответ ND для истинного CR, LP или PO; его доля считается от всех дефектных изображений.</w:t>
      </w:r>
    </w:p>
    <w:p>
      <w:pPr/>
      <w:r>
        <w:t>Стоимость взята из usage.cost. Цена на 1000 изображений рассчитана пропорционально. Время включает последнюю попытку и обмен по сети, без ожидания между повторами. Параллельность менялась от 4 до 12 запросов, в первом запуске также использовалось 8; задержки не являются аппаратным бенчмарком.</w:t>
      </w:r>
    </w:p>
    <w:p>
      <w:pPr/>
      <w:r>
        <w:t>Application уже была проверена на GPT-4.1 mini в первом эксперименте. При расширении состава моделей она не использовалась для выбора, промпт и примеры не менялись. Победитель сохранился; его прежние ответы использованы повторно.</w:t>
      </w:r>
    </w:p>
    <w:p>
      <w:pPr/>
      <w:r>
        <w:t>Репозиторий: https://github.com/DarkBall123/fa-ml-lab1. Локально сохранены код, перечни изображений, ответы API и команды пересчета метрик. Origin привязан к указанному адресу.</w:t>
      </w:r>
    </w:p>
    <w:p>
      <w:pPr>
        <w:pStyle w:val="Heading1"/>
        <w:pageBreakBefore/>
      </w:pPr>
      <w:r>
        <w:t>4 Результаты сравнения</w:t>
      </w:r>
    </w:p>
    <w:p>
      <w:pPr/>
      <w:r>
        <w:t>Семь моделей проверены на одних 80 изображениях в двух режимах (таблица 4). Полные метрики сохранены в results/metrics.csv.</w:t>
      </w:r>
    </w:p>
    <w:p>
      <w:pPr>
        <w:pStyle w:val="TableCaption"/>
      </w:pPr>
      <w:r>
        <w:t>Таблица 4 - Качество на сравнительной выборке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531"/>
        <w:gridCol w:w="1531"/>
        <w:gridCol w:w="1871"/>
        <w:gridCol w:w="2098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Модель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Macro-F1 zero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Macro-F1 four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Accuracy four</w:t>
            </w:r>
          </w:p>
        </w:tc>
        <w:tc>
          <w:tcPr>
            <w:tcW w:type="dxa" w:w="209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Невалидные four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Mistral Small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0,3802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0,6460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0,6875</w:t>
            </w:r>
          </w:p>
        </w:tc>
        <w:tc>
          <w:tcPr>
            <w:tcW w:type="dxa" w:w="209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0,0 %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GPT-4.1 mini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0,8221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0,8987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0,9000</w:t>
            </w:r>
          </w:p>
        </w:tc>
        <w:tc>
          <w:tcPr>
            <w:tcW w:type="dxa" w:w="209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0,0 %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Qwen3 VL 30B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0,5006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0,8270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0,8375</w:t>
            </w:r>
          </w:p>
        </w:tc>
        <w:tc>
          <w:tcPr>
            <w:tcW w:type="dxa" w:w="209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0,0 %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GPT-4.1 nano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0,4938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0,4971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0,5750</w:t>
            </w:r>
          </w:p>
        </w:tc>
        <w:tc>
          <w:tcPr>
            <w:tcW w:type="dxa" w:w="209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0,0 %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Nova Lite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0,0000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0,0000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0,0000</w:t>
            </w:r>
          </w:p>
        </w:tc>
        <w:tc>
          <w:tcPr>
            <w:tcW w:type="dxa" w:w="209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98,8 %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Qwen3 VL 8B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0,4639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0,8665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0,8750</w:t>
            </w:r>
          </w:p>
        </w:tc>
        <w:tc>
          <w:tcPr>
            <w:tcW w:type="dxa" w:w="209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0,0 %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Qwen3 VL 32B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0,5496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0,7665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0,7875</w:t>
            </w:r>
          </w:p>
        </w:tc>
        <w:tc>
          <w:tcPr>
            <w:tcW w:type="dxa" w:w="209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0,0 %</w:t>
            </w:r>
          </w:p>
        </w:tc>
      </w:tr>
    </w:tbl>
    <w:p>
      <w:pPr>
        <w:pStyle w:val="Spacer"/>
      </w:pPr>
      <w:r>
        <w:t xml:space="preserve"> </w:t>
      </w:r>
    </w:p>
    <w:p>
      <w:pPr/>
      <w:r>
        <w:t>Лучшей выбрана GPT-4.1 mini: Macro-F1 0,8987, accuracy 90,0 %. Среднее изменение Macro-F1 от четырех примеров равно 0,1845; H1 выполнена.</w:t>
      </w:r>
    </w:p>
    <w:p>
      <w:pPr/>
      <w:r>
        <w:t>Nova Lite нарушает формат JSON из-за Markdown. После удаления обертки диагностическая Macro-F1: zero-shot: 0,4625, four-shot: 0,6134. Эти диагностические оценки не используются для выбора модели.</w:t>
      </w:r>
    </w:p>
    <w:p>
      <w:pPr/>
      <w:r>
        <w:t>В таблице 5 показана стоимость обоих режимов и задержка four-shot.</w:t>
      </w:r>
    </w:p>
    <w:p>
      <w:pPr>
        <w:pStyle w:val="TableCaption"/>
      </w:pPr>
      <w:r>
        <w:t>Таблица 5 - Стоимость и время запросов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871"/>
        <w:gridCol w:w="1871"/>
        <w:gridCol w:w="1644"/>
        <w:gridCol w:w="1644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Модель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USD / 1000 zero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USD / 1000 four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Среднее, с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p95, 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Mistral Small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0,0181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0,0466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2,6366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4,9880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GPT-4.1 mini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0,1068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0,2828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2,7317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5,3452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Qwen3 VL 30B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0,0305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0,0675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1,7258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2,5348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GPT-4.1 nano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0,0325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0,0981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2,4922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3,6839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Nova Lite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0,0427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0,1711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1,7069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1,9076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Qwen3 VL 8B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0,0274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0,0606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1,5464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2,3259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Qwen3 VL 32B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0,0244</w:t>
            </w:r>
          </w:p>
        </w:tc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0,0540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2,1870</w:t>
            </w:r>
          </w:p>
        </w:tc>
        <w:tc>
          <w:tcPr>
            <w:tcW w:type="dxa" w:w="164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2,9480</w:t>
            </w:r>
          </w:p>
        </w:tc>
      </w:tr>
    </w:tbl>
    <w:p>
      <w:pPr>
        <w:pStyle w:val="Spacer"/>
      </w:pPr>
      <w:r>
        <w:t xml:space="preserve"> </w:t>
      </w:r>
    </w:p>
    <w:p>
      <w:pPr>
        <w:pStyle w:val="Heading1"/>
        <w:pageBreakBefore/>
      </w:pPr>
      <w:r>
        <w:t>5 Проверка выбранной модели</w:t>
      </w:r>
    </w:p>
    <w:p>
      <w:pPr/>
      <w:r>
        <w:t>GPT-4.1 mini проверена на 160 изображениях из девяти других групп RIAWELC, по 40 каждого класса (таблица 6). Это вдвое больше comparison. Новый срез принадлежит тому же датасету.</w:t>
      </w:r>
    </w:p>
    <w:p>
      <w:pPr>
        <w:pStyle w:val="TableCaption"/>
      </w:pPr>
      <w:r>
        <w:t>Таблица 6 - Результаты дополнительной проверки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2551"/>
        <w:gridCol w:w="2721"/>
      </w:tblGrid>
      <w:tr>
        <w:trPr>
          <w:cantSplit/>
          <w:tblHeader/>
        </w:trPr>
        <w:tc>
          <w:tcPr>
            <w:tcW w:type="dxa" w:w="408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Показатель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Comparison, 80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Application, 160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Macro-F1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0,8987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0,7713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Accuracy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0,9000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0,7688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Пропуски дефектов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0,0 %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1,7 %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Невалидные результаты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0,0 %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0,6 %</w:t>
            </w:r>
          </w:p>
        </w:tc>
      </w:tr>
      <w:tr>
        <w:trPr>
          <w:cantSplit/>
        </w:trPr>
        <w:tc>
          <w:tcPr>
            <w:tcW w:type="dxa" w:w="408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Расход, USD</w:t>
            </w:r>
          </w:p>
        </w:tc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0,02262</w:t>
            </w:r>
          </w:p>
        </w:tc>
        <w:tc>
          <w:tcPr>
            <w:tcW w:type="dxa" w:w="272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fill="FFFFFF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keepNext w:val="0"/>
              <w:spacing w:line="240" w:lineRule="auto" w:before="40" w:after="40"/>
              <w:ind w:firstLine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0,04497</w:t>
            </w:r>
          </w:p>
        </w:tc>
      </w:tr>
    </w:tbl>
    <w:p>
      <w:pPr>
        <w:pStyle w:val="Spacer"/>
      </w:pPr>
      <w:r>
        <w:t xml:space="preserve"> </w:t>
      </w:r>
    </w:p>
    <w:p>
      <w:pPr>
        <w:keepNext/>
      </w:pPr>
      <w:r>
        <w:t>Верно классифицировано 123 из 160 изображений. Пропущено 2 из 120 дефектов. Технических сбоев: 1; ответов с неверным форматом: 0. Матрица ошибок показана на рисунке 2.</w:t>
      </w:r>
    </w:p>
    <w:p>
      <w:pPr>
        <w:keepNext/>
        <w:spacing w:line="240" w:lineRule="auto" w:before="120"/>
        <w:ind w:firstLine="0"/>
        <w:jc w:val="center"/>
      </w:pPr>
      <w:r>
        <w:drawing>
          <wp:inline>
            <wp:extent cx="3600000" cy="1667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6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2 - Ошибки на дополнительной выборке</w:t>
      </w:r>
    </w:p>
    <w:p>
      <w:pPr>
        <w:keepNext/>
      </w:pPr>
      <w:r>
        <w:t>На рисунке 3 показан объект application_CR_001: истинная метка CR, ответ модели LP.</w:t>
      </w:r>
    </w:p>
    <w:p>
      <w:pPr>
        <w:keepNext/>
        <w:spacing w:line="240" w:lineRule="auto" w:before="120"/>
        <w:ind w:firstLine="0"/>
        <w:jc w:val="center"/>
      </w:pPr>
      <w:r>
        <w:drawing>
          <wp:inline>
            <wp:extent cx="4500000" cy="1390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_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39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3 - Пример ошибочной классификации</w:t>
      </w:r>
    </w:p>
    <w:p>
      <w:pPr/>
      <w:r>
        <w:t>95%-й кластерный bootstrap-интервал Macro-F1: от 0,5597 до 0,8949. Из 2000 повторов по группам 1930 содержали все классы. H2 выполнена.</w:t>
      </w:r>
    </w:p>
    <w:p>
      <w:pPr>
        <w:pStyle w:val="Structural"/>
        <w:pageBreakBefore/>
      </w:pPr>
      <w:r>
        <w:t>ЗАКЛЮЧЕНИЕ</w:t>
      </w:r>
    </w:p>
    <w:p>
      <w:pPr/>
      <w:r>
        <w:t>Сравнены семь моделей. По установленному правилу выбрана GPT-4.1 mini в режиме four-shot с Macro-F1 0,8987. На отдельной выборке из 160 изображений Macro-F1 составила 0,7713, accuracy 76,9 %.</w:t>
      </w:r>
    </w:p>
    <w:p>
      <w:pPr/>
      <w:r>
        <w:t>В журнале сохранено 1504 итоговых записей. Зарегистрированные расходы составили 0,14717 USD. Стоимость одного запроса не получена; локальная сумма может отличаться от учета OpenRouter.</w:t>
      </w:r>
    </w:p>
    <w:p>
      <w:pPr/>
      <w:r>
        <w:t>Результат относится к одному набору примеров и одному датасету. Группы выделены по именам файлов, а не подтвержденным идентификаторам соединений. Проверка dHash не исключает все близкие копии. Автономная приемка сварных швов по результатам этого эксперимента не обоснована.</w:t>
      </w:r>
    </w:p>
    <w:p>
      <w:pPr>
        <w:pStyle w:val="Structural"/>
        <w:pageBreakBefore/>
      </w:pPr>
      <w:r>
        <w:t>СПИСОК ИСПОЛЬЗОВАННЫХ ИСТОЧНИКОВ</w:t>
      </w:r>
    </w:p>
    <w:p>
      <w:pPr>
        <w:pStyle w:val="Reference"/>
      </w:pPr>
      <w:r>
        <w:t>1 An Image is Worth 16x16 Words: Transformers for Image Recognition at Scale / A. Dosovitskiy [et al.] // International Conference on Learning Representations. 2021. URL: https://arxiv.org/abs/2010.11929 (дата обращения: 17.09.2026).</w:t>
      </w:r>
    </w:p>
    <w:p>
      <w:pPr>
        <w:pStyle w:val="Reference"/>
      </w:pPr>
      <w:r>
        <w:t>2 Snell J. Prototypical Networks for Few-shot Learning / J. Snell, K. Swersky, R. Zemel // Advances in Neural Information Processing Systems. 2017. Vol. 30. URL: https://arxiv.org/abs/1703.05175 (дата обращения: 17.09.2026).</w:t>
      </w:r>
    </w:p>
    <w:p>
      <w:pPr>
        <w:pStyle w:val="Reference"/>
      </w:pPr>
      <w:r>
        <w:t>3 Language Models are Few-Shot Learners / T. B. Brown [et al.] // Advances in Neural Information Processing Systems. 2020. Vol. 33. URL: https://arxiv.org/abs/2005.14165 (дата обращения: 17.09.2026).</w:t>
      </w:r>
    </w:p>
    <w:p>
      <w:pPr>
        <w:pStyle w:val="Reference"/>
      </w:pPr>
      <w:r>
        <w:t>4 Flamingo: a Visual Language Model for Few-Shot Learning / J.-B. Alayrac [et al.] // Advances in Neural Information Processing Systems. 2022. Vol. 35. URL: https://arxiv.org/abs/2204.14198 (дата обращения: 17.09.2026).</w:t>
      </w:r>
    </w:p>
    <w:p>
      <w:pPr>
        <w:pStyle w:val="Reference"/>
      </w:pPr>
      <w:r>
        <w:t>5 Multiclass Evaluation of Vision Transformers for Industrial Welding Defect Detection / A. Contreras Ortiz, R. Rioda Santiago, D. E. Hernandez, M. Lopez-Montiel // Mathematical and Computational Applications. 2025. Vol. 30, № 2. Article 24. DOI: 10.3390/mca30020024.</w:t>
      </w:r>
    </w:p>
    <w:p>
      <w:pPr>
        <w:pStyle w:val="Reference"/>
      </w:pPr>
      <w:r>
        <w:t>6 Totino B. RIAWELC: A Novel Dataset of Radiographic Images for Automatic Weld Defects Classification / B. Totino, F. Spagnolo, S. Perri // International Journal of Electrical and Computer Engineering Research. 2023. Vol. 3, № 1. DOI: 10.53375/ijecer.2023.320.</w:t>
      </w:r>
    </w:p>
    <w:p>
      <w:pPr>
        <w:pStyle w:val="Reference"/>
      </w:pPr>
      <w:r>
        <w:t>7 DINOv2: Learning Robust Visual Features without Supervision / M. Oquab [et al.]. 2023. URL: https://arxiv.org/abs/2304.07193 (дата обращения: 17.09.2026).</w:t>
      </w:r>
    </w:p>
    <w:p>
      <w:pPr>
        <w:pStyle w:val="Reference"/>
      </w:pPr>
      <w:r>
        <w:t>8 WinCLIP: Zero-/Few-Shot Anomaly Classification and Segmentation / J. Jeong [et al.] // CVPR. 2023. URL: https://arxiv.org/abs/2303.14814 (дата обращения: 17.09.2026).</w:t>
      </w:r>
    </w:p>
    <w:p>
      <w:pPr>
        <w:pStyle w:val="Reference"/>
      </w:pPr>
      <w:r>
        <w:t>9 AnomalyGPT: Detecting Industrial Anomalies Using Large Vision-Language Models / Z. Gu [et al.] // AAAI. 2024. URL: https://arxiv.org/abs/2308.15366 (дата обращения: 17.09.2026).</w:t>
      </w:r>
    </w:p>
    <w:p>
      <w:pPr>
        <w:pStyle w:val="Reference"/>
      </w:pPr>
      <w:r>
        <w:t>10 Qwen3-VL Technical Report / S. Bai [et al.]. 2025. URL: https://arxiv.org/abs/2511.21631 (дата обращения: 17.09.2026).</w:t>
      </w:r>
    </w:p>
    <w:sectPr>
      <w:footerReference r:id="rId9" w:type="default"/>
      <w:headerReference w:type="default" r:id="rId6"/>
      <w:headerReference w:type="first" r:id="rId7"/>
      <w:footerReference w:type="first" r:id="rId8"/>
      <w:pgSz w:h="16838" w:w="11906" w:orient="portrait"/>
      <w:pgMar w:bottom="1134" w:top="1134" w:left="1701" w:right="850" w:header="567" w:footer="567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ind w:firstLine="0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120"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styleId="Heading1">
    <w:name w:val="heading 1"/>
    <w:basedOn w:val="Normal"/>
    <w:next w:val="Normal"/>
    <w:pPr>
      <w:keepNext/>
      <w:keepLines w:val="1"/>
      <w:widowControl/>
      <w:spacing w:after="240" w:before="0" w:line="360" w:lineRule="auto"/>
      <w:ind w:firstLine="709"/>
      <w:jc w:val="left"/>
    </w:pPr>
    <w:rPr>
      <w:rFonts w:ascii="Times New Roman" w:cs="Times New Roman" w:eastAsia="Times New Roman" w:hAnsi="Times New Roman"/>
      <w:b/>
      <w:bCs w:val="1"/>
      <w:i w:val="0"/>
      <w:color w:val="000000"/>
      <w:sz w:val="24"/>
      <w:szCs w:val="26"/>
    </w:rPr>
  </w:style>
  <w:style w:type="paragraph" w:styleId="Heading2">
    <w:name w:val="heading 2"/>
    <w:basedOn w:val="Normal"/>
    <w:next w:val="Normal"/>
    <w:pPr>
      <w:keepNext/>
      <w:keepLines w:val="1"/>
      <w:widowControl/>
      <w:spacing w:after="120" w:before="240" w:line="360" w:lineRule="auto"/>
      <w:ind w:firstLine="709"/>
      <w:jc w:val="left"/>
    </w:pPr>
    <w:rPr>
      <w:rFonts w:ascii="Times New Roman" w:cs="Times New Roman" w:eastAsia="Times New Roman" w:hAnsi="Times New Roman"/>
      <w:b/>
      <w:bCs w:val="1"/>
      <w:i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00000"/>
    </w:rPr>
  </w:style>
  <w:style w:type="paragraph" w:styleId="Title">
    <w:name w:val="Title"/>
    <w:basedOn w:val="Normal"/>
    <w:next w:val="Normal"/>
    <w:pPr>
      <w:widowControl/>
      <w:spacing w:after="0" w:before="0" w:line="360" w:lineRule="auto"/>
      <w:ind w:firstLine="0"/>
      <w:jc w:val="center"/>
    </w:pPr>
    <w:rPr>
      <w:rFonts w:ascii="Times New Roman" w:cs="Times New Roman" w:eastAsia="Times New Roman" w:hAnsi="Times New Roman"/>
      <w:b/>
      <w:bCs w:val="1"/>
      <w:i w:val="0"/>
      <w:color w:val="000000"/>
      <w:sz w:val="28"/>
      <w:szCs w:val="3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customStyle="1" w:styleId="Spacer">
    <w:name w:val="Spacer"/>
    <w:pPr>
      <w:widowControl/>
      <w:spacing w:before="0" w:after="60" w:line="240" w:lineRule="auto"/>
      <w:ind w:firstLine="0"/>
      <w:jc w:val="left"/>
    </w:pPr>
    <w:rPr>
      <w:rFonts w:ascii="Times New Roman" w:hAnsi="Times New Roman" w:eastAsia="Times New Roman" w:cs="Times New Roman"/>
      <w:b w:val="0"/>
      <w:i w:val="0"/>
      <w:color w:val="000000"/>
      <w:sz w:val="2"/>
    </w:rPr>
  </w:style>
  <w:style w:type="paragraph" w:customStyle="1" w:styleId="Structural">
    <w:name w:val="Structural"/>
    <w:pPr>
      <w:keepNext/>
      <w:widowControl/>
      <w:spacing w:before="0" w:after="240" w:line="360" w:lineRule="auto"/>
      <w:ind w:firstLine="0"/>
      <w:jc w:val="center"/>
    </w:pPr>
    <w:rPr>
      <w:rFonts w:ascii="Times New Roman" w:hAnsi="Times New Roman" w:eastAsia="Times New Roman" w:cs="Times New Roman"/>
      <w:b/>
      <w:i w:val="0"/>
      <w:color w:val="000000"/>
      <w:sz w:val="24"/>
    </w:rPr>
  </w:style>
  <w:style w:type="paragraph" w:customStyle="1" w:styleId="FigureCaption">
    <w:name w:val="Figure Caption"/>
    <w:pPr>
      <w:widowControl/>
      <w:spacing w:before="0" w:after="160" w:line="24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TableCaption">
    <w:name w:val="Table Caption"/>
    <w:pPr>
      <w:keepNext/>
      <w:widowControl/>
      <w:spacing w:before="160" w:after="80" w:line="240" w:lineRule="auto"/>
      <w:ind w:firstLine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TOCEntry">
    <w:name w:val="TOC Entry"/>
    <w:pPr>
      <w:widowControl/>
      <w:spacing w:before="0" w:after="0" w:line="360" w:lineRule="auto"/>
      <w:ind w:firstLine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  <w:style w:type="paragraph" w:customStyle="1" w:styleId="Reference">
    <w:name w:val="Reference"/>
    <w:pPr>
      <w:widowControl/>
      <w:spacing w:before="0" w:after="12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Большие языковые модели для контроля качества сварных швов</dc:title>
  <cp:lastModifiedBy>python-docx</cp:lastModifiedBy>
  <cp:revision>1</cp:revision>
  <dcterms:modified xsi:type="dcterms:W3CDTF">2026-09-17T17:57:22Z</dcterms:modified>
  <dc:creator>Азаров Владимир Сергеевич; Грингруз Даниил Михайлович; Кузнецов Дмитрий Сергеевич; Лукьянчиков Павел Максимович</dc:creator>
  <dc:subject>Лабораторная работа 1</dc:subject>
  <dc:description/>
</cp:coreProperties>
</file>