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E5" w:rsidRPr="00633DE5" w:rsidRDefault="00633DE5" w:rsidP="00633DE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Hacer una transacción con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 uno de esos pequeños placeres que nos trajo esta era moderna de internet. Poder enviar o recibir una cantidad de valor desde la comodidad de tu sala o habitación a cualquier parte del mundo, a cualquier hora, cualquier día de la semana sin la necesidad de un intermediario vigilando. Simplemente fascinante.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¿Parece de ciencia ficción, no es así? Pues yo creo que va más allá de eso.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Comparemos esto con una de las películas ambientadas en el futuro con una de las formas de pago más peculiares: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“El Precio del Mañana”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Allí corre el año 2161, la moneda de cambio es el tiempo y para hacer una transacción tienes que hacer contacto con el antebrazo de la contraparte.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Aunque no podemos negar que eso se vería muy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cool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, lo cierto es que ya desde 2009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 superior debido a su capacidad de hacer pagos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contactless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algo impensable para alguien en 2011, año en que salió la película.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Pese a las diferencias entre ambas formas de pago, hay algo que sí comparten: el factor magia.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¿Acaso no sería algo mágico hacer una transacción con alguien con tan solo tocar su antebrazo?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¿Que acaso no fue sorprendente la primera vez recibiste unos 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satoshis</w:t>
      </w:r>
      <w:proofErr w:type="spellEnd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 en tu 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 en apenas unos minutos?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Ambas experiencias reafirman la frase del escritor Arthur C. Clarke: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“Cualquier tecnología suficientemente avanzada es indistinguible de la magia.”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Aunque nosotros no somos magos sino estudiantes que les apasiona la tecnología, hoy vamos a crear un truco: hoy vamos a convertir en conocimiento lo que para otros es indistinguible de la magia; hoy estudiaremos el proceso de una transacción en la 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 xml:space="preserve"> de 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</w:pPr>
      <w:r w:rsidRPr="00633DE5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  <w:t>Ejecutando una transacción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lastRenderedPageBreak/>
        <w:t>Comencemos explorando un paso a la vez y partiendo desde tu punto de vista; la ejecución de la transacción.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Imaginemos un escenario donde deseas realizar un pago en un restaurante que acepta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. El que el monto a pagar es de 5 dls. Tomas tu celular, abres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, escaneas el código QR que viene con tu cuenta, verificas que todo sea correcto y presionas el botón de pagar. </w:t>
      </w:r>
      <w:proofErr w:type="gram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Tu</w:t>
      </w:r>
      <w:proofErr w:type="gram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ni siquiera lo notaste pero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hizo una serie de pasos por ti. Veamos cada uno de ellos.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Conoce más: </w:t>
      </w:r>
      <w:hyperlink r:id="rId5" w:tgtFrame="_blank" w:history="1"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 xml:space="preserve">¿Qué es y cómo funciona Chivo </w:t>
        </w:r>
        <w:proofErr w:type="spellStart"/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Wallet</w:t>
        </w:r>
        <w:proofErr w:type="spellEnd"/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?</w:t>
        </w:r>
      </w:hyperlink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La primera funcionalidad de la que hiciste uso en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fue el almacenamiento de tu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Llave Privada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llave con la que autorizaste tu transacción. Esta te fue dada la primera vez que la iniciaste en tu dispositivo móvil y para su respaldo se te otorgó una serie de 12 a 24 palabras conocidas como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Semilla Mnemotécnica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Esta llave privada fue la que generó una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Llave Pública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que a su vez generó una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dirección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en la cual pudiste recibir los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pudiste gastar.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7" name="Imagen 7" descr="BF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B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Lo siguiente que hizo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fue el armado de la transacción, la cual se compone de inputs y outputs, los cuales lleno de la siguiente manera: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Dentro de los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inputs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colocó una o más referencias a transacciones con outputs con saldo a tu favor dentro de la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. A estos se les conoce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como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UTXO’s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o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Unspent</w:t>
      </w:r>
      <w:proofErr w:type="spellEnd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 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Transaction</w:t>
      </w:r>
      <w:proofErr w:type="spellEnd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 Outputs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. El monto acumulado en esta sección debe ser equivalente en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a 5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dlls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o más. Por otro lado, en la parte de los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outputs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coloco la dirección del destinatario, el restaurante, y la cantidad a pagar.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6" name="Imagen 6" descr="BF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FB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¿Recuerdas que dijimos que el monto en los outputs debe ser superior a 5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dls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? Esto es una regla general, ya que el saldo restante lo tomarán los mineros como la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comisión de la transacción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. Esto quiere decir que si el monto de los inputs suma un total de 6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dlls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y el de los outputs 5, la comisión de la transacción será de 1 dólar.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Una vez que la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realizó lo anterior, solo esperó a tu confirmación con el botón de pagar y finalmente transmitió la transacción a un nodo. A partir de aquí no hay mucho que puedas hacer, solo esperar a que tu transacción entre un bloque lo más pronto posible. Veamos que sucede hasta que esto ocurre.</w:t>
      </w:r>
    </w:p>
    <w:p w:rsidR="00633DE5" w:rsidRPr="00633DE5" w:rsidRDefault="00633DE5" w:rsidP="00633DE5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</w:pPr>
      <w:r w:rsidRPr="00633DE5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  <w:lastRenderedPageBreak/>
        <w:t>El trabajo de un nodo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En cuanto tu transacción es enviada es recibida por el nodo más cercano, es decir, al que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está conectado. El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nodo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es quien valida las transacciones y lleva el registro de toda la 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en memoria (más de 500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gb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al momento de escribir esto), incluyendo </w:t>
      </w:r>
      <w:proofErr w:type="gram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la transacciones pendientes</w:t>
      </w:r>
      <w:proofErr w:type="gram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Cada uno está conectado a su vez con otros nodos dentro de la red a través del protocolo TCP/IP.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La mayoría de las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mantienen sus propios nodos pero aun así te dejan la opción de conectar el tuyo propio, lo cual siempre es lo ideal.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En este caso, lo primero que hará el nodo receptor es validar la transacción, es decir, verifica que tu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proofErr w:type="gram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firma</w:t>
      </w:r>
      <w:proofErr w:type="gram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es válida para gastar los inputs de la transacción y verificar que estos vienen de una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Coinbase</w:t>
      </w:r>
      <w:proofErr w:type="spellEnd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 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Transaction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(este término lo definiremos en la sección de mineros). Si todo está correcto, mandará la transacción al***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***, que es una especie de limbo de transacciones que no han sido incluidas en un bloque. Finalmente, la transacción es propagada hacia otros nodos para que realicen el mismo procedimiento.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5" name="Imagen 5" descr="BF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FB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Todos y cada uno de los más de 13,000 nodos que existen en la red de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deben de hacer el procedimiento anterior, hasta que todos tengan la transacción en 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Por ahora, la labor de los nodos ha terminado y a partir de aquí los mineros son los que entran en acción.</w:t>
      </w:r>
    </w:p>
    <w:p w:rsidR="00633DE5" w:rsidRPr="00633DE5" w:rsidRDefault="00633DE5" w:rsidP="00633DE5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</w:pPr>
      <w:r w:rsidRPr="00633DE5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  <w:t>La minería; dando seguridad a la red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En definición, una persona que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mina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es todo aquel participante en la red de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que se encarga de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armar los bloques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y asegurar la red realizando la </w:t>
      </w:r>
      <w:r w:rsidRPr="00633DE5">
        <w:rPr>
          <w:rFonts w:ascii="Arial" w:eastAsia="Times New Roman" w:hAnsi="Arial" w:cs="Arial"/>
          <w:b/>
          <w:bCs/>
          <w:i/>
          <w:iCs/>
          <w:color w:val="273B47"/>
          <w:sz w:val="30"/>
          <w:szCs w:val="30"/>
          <w:lang w:eastAsia="es-CL"/>
        </w:rPr>
        <w:t>Prueba de Trabajo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o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Proof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of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Work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Veamos en qué consisten estas dos tareas.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lastRenderedPageBreak/>
        <w:t xml:space="preserve">Una vez que tu transacción fue propagada por toda la red, los mineros, los cuales están conectados a un nodo, acomodan 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en forma de pila. Esta pila es ordenada de mayor a menor según el monto de comisión de la transacción. Esto quiere decir que las transacciones que tienen un mayor monto de comisión irán en la cima de la pila y formarán parte de un bloque de inmediato, por otro lado las transacciones con menor comisión irán detrás de estas.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Después que 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 ordenado, es hora de armar el bloque. Para llevar a cabo esta tarea, los mineros toman transacciones de la pila del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y las ponen en el bloque hasta que pese, máximo,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1 megabyte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Posteriormente, el minero agregara una transacción extra: la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“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Coinbase</w:t>
      </w:r>
      <w:proofErr w:type="spellEnd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 xml:space="preserve"> 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Transaction</w:t>
      </w:r>
      <w:proofErr w:type="spellEnd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”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un UTXO a su favor con las recompensas del bloque.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El monto de la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CoinbaseTX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está compuesto por dos cantidades, el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Subsidio del Bloque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y las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Comisiones del Bloque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El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“Subsidio del Bloque”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corresponde a los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que son creados por default por la red cada vez que se crea un bloque. Actualmente este monto es de 6.5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Mientras tanto las “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Comisiones del Bloque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” son todas las comisiones de cada transacción dentro del bloque juntas.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4" name="Imagen 4" descr="BFB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FB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Antes de comenzar a minar, el minero deberá agregar información adicional que servirá para identificar el bloque: el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hash del bloque anterior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el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número del bloque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la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 xml:space="preserve">raíz de 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merkle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el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timestamp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y el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nonce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A esta información se le conoce como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 xml:space="preserve">“Block 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Header</w:t>
      </w:r>
      <w:proofErr w:type="spellEnd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”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 Una vez agregados estos datos, es hora de comenzar el proceso de minado.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3" name="Imagen 3" descr="BFB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FB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Minar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no es otra cosa que el proceso de ajustar 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nounce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del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header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y pasar el bloque por el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algoritmo de hash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SHA-256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hasta que cumpla la dificultad que la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exige para que este sea válido. La dificultad podemos medirla visualmente por el número de 0’ s que tiene un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string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dado por el algoritmo. Este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string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 conocido como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“Target Hash”.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Por tanto, para que un bloque sea válido lo único que tiene que hacer es tener una cantidad igual o mayor de 0 ’s al inicio de su hash. El primero en lograrlo puede transmitir su bloque y quedarse con su recompensa del mismo.</w:t>
      </w:r>
    </w:p>
    <w:p w:rsidR="00633DE5" w:rsidRPr="00633DE5" w:rsidRDefault="00633DE5" w:rsidP="00633D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</w:pPr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>Target Hash:</w:t>
      </w:r>
    </w:p>
    <w:p w:rsidR="00633DE5" w:rsidRPr="00633DE5" w:rsidRDefault="00633DE5" w:rsidP="00633D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</w:pPr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 xml:space="preserve">$ </w:t>
      </w:r>
      <w:proofErr w:type="spellStart"/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>bitcoin</w:t>
      </w:r>
      <w:proofErr w:type="spellEnd"/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 xml:space="preserve">-cli </w:t>
      </w:r>
      <w:proofErr w:type="spellStart"/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>getblocktemplate</w:t>
      </w:r>
      <w:proofErr w:type="spellEnd"/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 xml:space="preserve"> </w:t>
      </w:r>
      <w:r w:rsidRPr="00633DE5">
        <w:rPr>
          <w:rFonts w:ascii="Consolas" w:eastAsia="Times New Roman" w:hAnsi="Consolas" w:cs="Courier New"/>
          <w:color w:val="A6E22E"/>
          <w:sz w:val="24"/>
          <w:szCs w:val="24"/>
          <w:lang w:eastAsia="es-CL"/>
        </w:rPr>
        <w:t>'{"rules": ["</w:t>
      </w:r>
      <w:proofErr w:type="spellStart"/>
      <w:r w:rsidRPr="00633DE5">
        <w:rPr>
          <w:rFonts w:ascii="Consolas" w:eastAsia="Times New Roman" w:hAnsi="Consolas" w:cs="Courier New"/>
          <w:color w:val="A6E22E"/>
          <w:sz w:val="24"/>
          <w:szCs w:val="24"/>
          <w:lang w:eastAsia="es-CL"/>
        </w:rPr>
        <w:t>segwit</w:t>
      </w:r>
      <w:proofErr w:type="spellEnd"/>
      <w:r w:rsidRPr="00633DE5">
        <w:rPr>
          <w:rFonts w:ascii="Consolas" w:eastAsia="Times New Roman" w:hAnsi="Consolas" w:cs="Courier New"/>
          <w:color w:val="A6E22E"/>
          <w:sz w:val="24"/>
          <w:szCs w:val="24"/>
          <w:lang w:eastAsia="es-CL"/>
        </w:rPr>
        <w:t>"]}'</w:t>
      </w:r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 xml:space="preserve"> | grep target</w:t>
      </w:r>
    </w:p>
    <w:p w:rsidR="00633DE5" w:rsidRPr="00633DE5" w:rsidRDefault="00633DE5" w:rsidP="00633D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</w:pPr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lastRenderedPageBreak/>
        <w:t xml:space="preserve">  </w:t>
      </w:r>
      <w:r w:rsidRPr="00633DE5">
        <w:rPr>
          <w:rFonts w:ascii="Consolas" w:eastAsia="Times New Roman" w:hAnsi="Consolas" w:cs="Courier New"/>
          <w:color w:val="A6E22E"/>
          <w:sz w:val="24"/>
          <w:szCs w:val="24"/>
          <w:lang w:eastAsia="es-CL"/>
        </w:rPr>
        <w:t>"target"</w:t>
      </w:r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 xml:space="preserve">: </w:t>
      </w:r>
      <w:r w:rsidRPr="00633DE5">
        <w:rPr>
          <w:rFonts w:ascii="Consolas" w:eastAsia="Times New Roman" w:hAnsi="Consolas" w:cs="Courier New"/>
          <w:color w:val="A6E22E"/>
          <w:sz w:val="24"/>
          <w:szCs w:val="24"/>
          <w:lang w:eastAsia="es-CL"/>
        </w:rPr>
        <w:t>"0000000000000000000e26320000000000000000000000000000000000000000"</w:t>
      </w:r>
      <w:r w:rsidRPr="00633DE5">
        <w:rPr>
          <w:rFonts w:ascii="Consolas" w:eastAsia="Times New Roman" w:hAnsi="Consolas" w:cs="Courier New"/>
          <w:color w:val="DDDDDD"/>
          <w:sz w:val="24"/>
          <w:szCs w:val="24"/>
          <w:lang w:eastAsia="es-CL"/>
        </w:rPr>
        <w:t>,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Ya sé, suena sencillo, pero entre más 0 ’s tenga el Target Hash, más difícil es. Por ello, actualmente para lograr minar un bloque necesitas una granja de minería.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Para que el minero pueda reclamar sus recompensas del bloque este debe formar parte de la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, por lo que debe transmitirlo apenas haya resuelto la Prueba de Trabajo. Esta transmisión se da a través del nodo donde obtuvo el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el cual se encarga también de verificar las transacciones y el Target de dificultad del bloque. Si el bloque no presenta ninguna anomalía lo retransmite a los demás nodos, los cuales repiten el proceso de verificación.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2" name="Imagen 2" descr="BFB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FB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Esta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propagación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dura apenas unos segundos por lo que llegará inmediatamente al nodo conectado a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</w:pPr>
      <w:r w:rsidRPr="00633DE5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  <w:t>“Houston, hemos aterrizado”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Mientras lo anterior sucedía, tu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estaba esperando una señal del nodo, hasta que finalmente, te manda una notificación: tu transacción tiene </w:t>
      </w:r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1 confirmación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. Esto significa que fue incluida en el último bloque minado, por tanto se actualizo tu balance con 5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dolares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menos y el de tu destinatario con 5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dolares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mas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9144000" cy="5141595"/>
            <wp:effectExtent l="0" t="0" r="0" b="1905"/>
            <wp:docPr id="1" name="Imagen 1" descr="BFB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FB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Y listo, ahora ya puedes dejar el establecimiento pues la transacción ya está en la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Ahora ya conoces los fundamentos y conceptos claves como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nodo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 </w:t>
      </w:r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minero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mempool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o </w:t>
      </w:r>
      <w:proofErr w:type="spellStart"/>
      <w:r w:rsidRPr="00633DE5">
        <w:rPr>
          <w:rFonts w:ascii="Arial" w:eastAsia="Times New Roman" w:hAnsi="Arial" w:cs="Arial"/>
          <w:i/>
          <w:iCs/>
          <w:color w:val="273B47"/>
          <w:sz w:val="30"/>
          <w:szCs w:val="30"/>
          <w:lang w:eastAsia="es-CL"/>
        </w:rPr>
        <w:t>wallet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dentro de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blockchain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plasmados en el contexto más común: una transacción. Con esto en mente ahora tienes una imagen mental de cómo funciona el algoritmo de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bitcoin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</w:pPr>
      <w:r w:rsidRPr="00633DE5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CL"/>
        </w:rPr>
        <w:t>Conclusión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En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Platzi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además, tenemos una comunidad increíble de </w:t>
      </w:r>
      <w:proofErr w:type="spellStart"/>
      <w:r w:rsidRPr="00633DE5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Cryptocositas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. En dónde nuestra misión es aprender juntos </w:t>
      </w: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lastRenderedPageBreak/>
        <w:t>día a día. Sin consejos de inversión, sin tomar el camino fácil, compartiendo con todos nuestro conocimiento y siendo parte de este ecosistema que va más allá del #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hold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o #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tothemoon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sino de la posibilidad de ser parte de una tecnología que está y va a revolucionar el mundo.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Si quieres unirte solo debes entrar </w:t>
      </w:r>
      <w:hyperlink r:id="rId13" w:tgtFrame="_blank" w:history="1"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acá</w:t>
        </w:r>
      </w:hyperlink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, seguir las reglas de la </w:t>
      </w:r>
      <w:hyperlink r:id="rId14" w:tgtFrame="_blank" w:history="1"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comunidad</w:t>
        </w:r>
      </w:hyperlink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 y prepararte para nunca parar de aprender.</w:t>
      </w:r>
    </w:p>
    <w:p w:rsidR="00633DE5" w:rsidRPr="00633DE5" w:rsidRDefault="00633DE5" w:rsidP="00633DE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Recuerda que también tenemos el </w:t>
      </w:r>
      <w:hyperlink r:id="rId15" w:tgtFrame="_blank" w:history="1"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 xml:space="preserve">Curso de </w:t>
        </w:r>
        <w:proofErr w:type="spellStart"/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Bitcoin</w:t>
        </w:r>
        <w:proofErr w:type="spellEnd"/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 xml:space="preserve"> y </w:t>
        </w:r>
        <w:proofErr w:type="spellStart"/>
        <w:r w:rsidRPr="00633DE5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Blockchain</w:t>
        </w:r>
        <w:proofErr w:type="spellEnd"/>
      </w:hyperlink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 donde podrás aprender mucho más de esta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criptomonedas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y muchas más cosas sobre las diferentes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blockchains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.</w:t>
      </w:r>
    </w:p>
    <w:p w:rsidR="00633DE5" w:rsidRPr="00633DE5" w:rsidRDefault="00633DE5" w:rsidP="00633DE5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Es muy probable que todavía tengas muchas dudas, por eso </w:t>
      </w:r>
      <w:proofErr w:type="spellStart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dejamelas</w:t>
      </w:r>
      <w:proofErr w:type="spellEnd"/>
      <w:r w:rsidRPr="00633DE5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en los comentarios y con gusto las responderé.</w:t>
      </w:r>
    </w:p>
    <w:p w:rsidR="00DB2342" w:rsidRDefault="00633DE5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67"/>
    <w:rsid w:val="00075EE0"/>
    <w:rsid w:val="00220F67"/>
    <w:rsid w:val="00633DE5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3DE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3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633DE5"/>
    <w:rPr>
      <w:i/>
      <w:iCs/>
    </w:rPr>
  </w:style>
  <w:style w:type="character" w:styleId="Textoennegrita">
    <w:name w:val="Strong"/>
    <w:basedOn w:val="Fuentedeprrafopredeter"/>
    <w:uiPriority w:val="22"/>
    <w:qFormat/>
    <w:rsid w:val="00633DE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33DE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3DE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33D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633DE5"/>
  </w:style>
  <w:style w:type="paragraph" w:styleId="Textodeglobo">
    <w:name w:val="Balloon Text"/>
    <w:basedOn w:val="Normal"/>
    <w:link w:val="TextodegloboCar"/>
    <w:uiPriority w:val="99"/>
    <w:semiHidden/>
    <w:unhideWhenUsed/>
    <w:rsid w:val="0063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3DE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3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633DE5"/>
    <w:rPr>
      <w:i/>
      <w:iCs/>
    </w:rPr>
  </w:style>
  <w:style w:type="character" w:styleId="Textoennegrita">
    <w:name w:val="Strong"/>
    <w:basedOn w:val="Fuentedeprrafopredeter"/>
    <w:uiPriority w:val="22"/>
    <w:qFormat/>
    <w:rsid w:val="00633DE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33DE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3DE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33D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633DE5"/>
  </w:style>
  <w:style w:type="paragraph" w:styleId="Textodeglobo">
    <w:name w:val="Balloon Text"/>
    <w:basedOn w:val="Normal"/>
    <w:link w:val="TextodegloboCar"/>
    <w:uiPriority w:val="99"/>
    <w:semiHidden/>
    <w:unhideWhenUsed/>
    <w:rsid w:val="0063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5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DFE1E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.me/joinchat/WPAsE3WGkKxHvTQ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platzi.com/clases/2378-bitcoin-salvador/39725-que-es-y-como-funciona-chivo-wallet/" TargetMode="External"/><Relationship Id="rId15" Type="http://schemas.openxmlformats.org/officeDocument/2006/relationships/hyperlink" Target="https://platzi.com/cursos/bitcoin-blockchain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platzi.com/conduc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1583</Words>
  <Characters>8708</Characters>
  <Application>Microsoft Office Word</Application>
  <DocSecurity>0</DocSecurity>
  <Lines>72</Lines>
  <Paragraphs>20</Paragraphs>
  <ScaleCrop>false</ScaleCrop>
  <Company>Luffi</Company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2024-07-16T07:09:00Z</dcterms:created>
  <dcterms:modified xsi:type="dcterms:W3CDTF">2024-07-16T07:10:00Z</dcterms:modified>
</cp:coreProperties>
</file>