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D6C" w:rsidRPr="00E252CB" w:rsidRDefault="00E252CB" w:rsidP="00E252CB">
      <w:pPr>
        <w:jc w:val="both"/>
        <w:rPr>
          <w:b/>
          <w:u w:val="single"/>
          <w:lang w:val="es-ES"/>
        </w:rPr>
      </w:pPr>
      <w:r w:rsidRPr="00E252CB">
        <w:rPr>
          <w:b/>
          <w:lang w:val="es-ES"/>
        </w:rPr>
        <w:t>Lee el siguiente texto, después reconoce la tesis y los argumentos.</w:t>
      </w:r>
      <w:bookmarkStart w:id="0" w:name="_GoBack"/>
      <w:bookmarkEnd w:id="0"/>
    </w:p>
    <w:p w:rsidR="00E252CB" w:rsidRPr="00E252CB" w:rsidRDefault="00E252CB" w:rsidP="00E252CB">
      <w:pPr>
        <w:jc w:val="both"/>
        <w:rPr>
          <w:b/>
          <w:lang w:val="es-ES"/>
        </w:rPr>
      </w:pPr>
    </w:p>
    <w:p w:rsidR="00E252CB" w:rsidRPr="00E252CB" w:rsidRDefault="00E252CB" w:rsidP="00E252CB">
      <w:pPr>
        <w:jc w:val="center"/>
        <w:rPr>
          <w:b/>
          <w:color w:val="FF0000"/>
          <w:sz w:val="32"/>
          <w:u w:val="single"/>
          <w:lang w:val="es-ES"/>
        </w:rPr>
      </w:pPr>
      <w:r w:rsidRPr="00E252CB">
        <w:rPr>
          <w:b/>
          <w:color w:val="FF0000"/>
          <w:sz w:val="32"/>
          <w:u w:val="single"/>
          <w:lang w:val="es-ES"/>
        </w:rPr>
        <w:t>MUCHAS UNIVERSIDADES, MUCHOS NEGOCIOS</w:t>
      </w:r>
    </w:p>
    <w:p w:rsidR="00E252CB" w:rsidRPr="00E252CB" w:rsidRDefault="00E252CB" w:rsidP="00E252CB">
      <w:pPr>
        <w:pStyle w:val="Prrafodelista"/>
        <w:numPr>
          <w:ilvl w:val="0"/>
          <w:numId w:val="1"/>
        </w:numPr>
        <w:jc w:val="both"/>
        <w:rPr>
          <w:b/>
          <w:sz w:val="20"/>
          <w:lang w:val="es-ES"/>
        </w:rPr>
      </w:pPr>
      <w:r w:rsidRPr="00E252CB">
        <w:rPr>
          <w:b/>
          <w:sz w:val="20"/>
          <w:lang w:val="es-ES"/>
        </w:rPr>
        <w:t>Según la Encuesta Nacional de Hogares (</w:t>
      </w:r>
      <w:proofErr w:type="spellStart"/>
      <w:r w:rsidRPr="00E252CB">
        <w:rPr>
          <w:b/>
          <w:sz w:val="20"/>
          <w:lang w:val="es-ES"/>
        </w:rPr>
        <w:t>Enaho</w:t>
      </w:r>
      <w:proofErr w:type="spellEnd"/>
      <w:r w:rsidRPr="00E252CB">
        <w:rPr>
          <w:b/>
          <w:sz w:val="20"/>
          <w:lang w:val="es-ES"/>
        </w:rPr>
        <w:t>) más reciente, en el Perú hay 1’649. 824 ciudadanos formados en administración y contabilidad, pero solo 300.344 ejercen su carrera; hay 1’050.390 que estudiaron pedagogía, pero 474.993 se desempeñan en la docencia; hay 378.705 personas que cursaron derecho, pero solo 94.887 trabajan como abogados.</w:t>
      </w:r>
      <w:r w:rsidRPr="00E252CB">
        <w:rPr>
          <w:b/>
          <w:sz w:val="20"/>
          <w:lang w:val="es-ES"/>
        </w:rPr>
        <w:t xml:space="preserve"> </w:t>
      </w:r>
      <w:r w:rsidRPr="00E252CB">
        <w:rPr>
          <w:b/>
          <w:color w:val="FFC000"/>
          <w:sz w:val="20"/>
          <w:lang w:val="es-ES"/>
        </w:rPr>
        <w:t>(A. ESTADISTICO)</w:t>
      </w:r>
    </w:p>
    <w:p w:rsidR="00E252CB" w:rsidRPr="00E252CB" w:rsidRDefault="00E252CB" w:rsidP="00E252CB">
      <w:pPr>
        <w:pStyle w:val="Prrafodelista"/>
        <w:jc w:val="both"/>
        <w:rPr>
          <w:b/>
          <w:sz w:val="20"/>
          <w:lang w:val="es-ES"/>
        </w:rPr>
      </w:pPr>
    </w:p>
    <w:p w:rsidR="00E252CB" w:rsidRPr="00E252CB" w:rsidRDefault="00E252CB" w:rsidP="00E252CB">
      <w:pPr>
        <w:pStyle w:val="Prrafodelista"/>
        <w:numPr>
          <w:ilvl w:val="0"/>
          <w:numId w:val="1"/>
        </w:numPr>
        <w:jc w:val="both"/>
        <w:rPr>
          <w:b/>
          <w:sz w:val="20"/>
          <w:lang w:val="es-ES"/>
        </w:rPr>
      </w:pPr>
      <w:r w:rsidRPr="00E252CB">
        <w:rPr>
          <w:b/>
          <w:sz w:val="20"/>
          <w:lang w:val="es-ES"/>
        </w:rPr>
        <w:t>las investigaciones han encontrado que los jóvenes que se formaron en universidades de baja calidad (y bajo costo) tienen mayor probabilidad de ser subempleados.</w:t>
      </w:r>
      <w:r w:rsidRPr="00E252CB">
        <w:rPr>
          <w:b/>
          <w:sz w:val="20"/>
          <w:lang w:val="es-ES"/>
        </w:rPr>
        <w:t xml:space="preserve"> </w:t>
      </w:r>
      <w:r w:rsidRPr="00E252CB">
        <w:rPr>
          <w:b/>
          <w:color w:val="FFC000"/>
          <w:sz w:val="20"/>
          <w:lang w:val="es-ES"/>
        </w:rPr>
        <w:t>(A. DE HECHOS)</w:t>
      </w:r>
    </w:p>
    <w:p w:rsidR="00E252CB" w:rsidRPr="00E252CB" w:rsidRDefault="00E252CB" w:rsidP="00E252CB">
      <w:pPr>
        <w:pStyle w:val="Prrafodelista"/>
        <w:rPr>
          <w:b/>
          <w:sz w:val="20"/>
          <w:lang w:val="es-ES"/>
        </w:rPr>
      </w:pPr>
    </w:p>
    <w:p w:rsidR="00E252CB" w:rsidRPr="00E252CB" w:rsidRDefault="00E252CB" w:rsidP="00E252CB">
      <w:pPr>
        <w:pStyle w:val="Prrafodelista"/>
        <w:jc w:val="both"/>
        <w:rPr>
          <w:b/>
          <w:sz w:val="20"/>
          <w:lang w:val="es-ES"/>
        </w:rPr>
      </w:pPr>
    </w:p>
    <w:p w:rsidR="00E252CB" w:rsidRPr="00E252CB" w:rsidRDefault="00E252CB" w:rsidP="00E252CB">
      <w:pPr>
        <w:pStyle w:val="Prrafodelista"/>
        <w:numPr>
          <w:ilvl w:val="0"/>
          <w:numId w:val="1"/>
        </w:numPr>
        <w:jc w:val="both"/>
        <w:rPr>
          <w:b/>
          <w:sz w:val="20"/>
          <w:lang w:val="es-ES"/>
        </w:rPr>
      </w:pPr>
      <w:r w:rsidRPr="00E252CB">
        <w:rPr>
          <w:b/>
          <w:sz w:val="20"/>
          <w:lang w:val="es-ES"/>
        </w:rPr>
        <w:t>Mientras no tengamos mejoras sustanciales en nuestro mercado de trabajo, no será muy inteligente invertir en más universidades. Lo que necesitamos es enfocar los esfuerzos en conseguir que las actuales formen mejores profesionales.</w:t>
      </w:r>
      <w:r w:rsidRPr="00E252CB">
        <w:rPr>
          <w:b/>
          <w:sz w:val="20"/>
          <w:lang w:val="es-ES"/>
        </w:rPr>
        <w:t xml:space="preserve"> </w:t>
      </w:r>
      <w:r w:rsidRPr="00E252CB">
        <w:rPr>
          <w:b/>
          <w:color w:val="FFC000"/>
          <w:sz w:val="20"/>
          <w:lang w:val="es-ES"/>
        </w:rPr>
        <w:t>(A. DE EJEMPLIFICACIÓN)</w:t>
      </w:r>
    </w:p>
    <w:p w:rsidR="00E252CB" w:rsidRPr="00E252CB" w:rsidRDefault="00E252CB" w:rsidP="00E252CB">
      <w:pPr>
        <w:pStyle w:val="Prrafodelista"/>
        <w:jc w:val="both"/>
        <w:rPr>
          <w:b/>
          <w:sz w:val="20"/>
          <w:lang w:val="es-ES"/>
        </w:rPr>
      </w:pPr>
    </w:p>
    <w:p w:rsidR="00E252CB" w:rsidRPr="00E252CB" w:rsidRDefault="00E252CB" w:rsidP="00E252CB">
      <w:pPr>
        <w:pStyle w:val="Prrafodelista"/>
        <w:numPr>
          <w:ilvl w:val="0"/>
          <w:numId w:val="1"/>
        </w:numPr>
        <w:jc w:val="both"/>
        <w:rPr>
          <w:b/>
          <w:sz w:val="20"/>
          <w:lang w:val="es-ES"/>
        </w:rPr>
      </w:pPr>
      <w:r w:rsidRPr="00E252CB">
        <w:rPr>
          <w:b/>
          <w:sz w:val="20"/>
          <w:lang w:val="es-ES"/>
        </w:rPr>
        <w:t>E</w:t>
      </w:r>
      <w:r w:rsidRPr="00E252CB">
        <w:rPr>
          <w:b/>
          <w:sz w:val="20"/>
          <w:lang w:val="es-ES"/>
        </w:rPr>
        <w:t>n medio del caos de la vacancia y de la ilegitimidad de los usurpadores, este Congreso intentaba crear nuevas universidades públicas. Llamar a esto un “error” seria benevolente. Era parte de un accionar clientelista. Varios de los actuales congresistas han conseguido votos ofreciendo estas universidades en sus localidades.</w:t>
      </w:r>
      <w:r w:rsidRPr="00E252CB">
        <w:rPr>
          <w:b/>
          <w:sz w:val="20"/>
          <w:lang w:val="es-ES"/>
        </w:rPr>
        <w:t xml:space="preserve"> </w:t>
      </w:r>
      <w:r w:rsidRPr="00E252CB">
        <w:rPr>
          <w:b/>
          <w:color w:val="FFC000"/>
          <w:sz w:val="20"/>
          <w:lang w:val="es-ES"/>
        </w:rPr>
        <w:t>(A. DE HECHOS)</w:t>
      </w:r>
    </w:p>
    <w:p w:rsidR="00E252CB" w:rsidRPr="00E252CB" w:rsidRDefault="00E252CB" w:rsidP="00E252CB">
      <w:pPr>
        <w:pStyle w:val="Prrafodelista"/>
        <w:rPr>
          <w:b/>
          <w:sz w:val="20"/>
          <w:lang w:val="es-ES"/>
        </w:rPr>
      </w:pPr>
    </w:p>
    <w:p w:rsidR="00E252CB" w:rsidRPr="00E252CB" w:rsidRDefault="00E252CB" w:rsidP="00E252CB">
      <w:pPr>
        <w:pStyle w:val="Prrafodelista"/>
        <w:jc w:val="both"/>
        <w:rPr>
          <w:b/>
          <w:sz w:val="20"/>
          <w:lang w:val="es-ES"/>
        </w:rPr>
      </w:pPr>
    </w:p>
    <w:p w:rsidR="00E252CB" w:rsidRPr="00E252CB" w:rsidRDefault="00E252CB" w:rsidP="00E252CB">
      <w:pPr>
        <w:pStyle w:val="Prrafodelista"/>
        <w:numPr>
          <w:ilvl w:val="0"/>
          <w:numId w:val="1"/>
        </w:numPr>
        <w:jc w:val="both"/>
        <w:rPr>
          <w:b/>
          <w:sz w:val="20"/>
          <w:lang w:val="es-ES"/>
        </w:rPr>
      </w:pPr>
      <w:r w:rsidRPr="00E252CB">
        <w:rPr>
          <w:b/>
          <w:sz w:val="20"/>
          <w:lang w:val="es-ES"/>
        </w:rPr>
        <w:t>La confluencia de intereses políticos y económicos en los sistemas universitarios no es nueva. Tampoco se trata de un fenómeno exclusivamente peruano. Argentina, Chile, Colombia y varios de nuestros vecinos sufren de problemas similares.</w:t>
      </w:r>
      <w:r w:rsidRPr="00E252CB">
        <w:rPr>
          <w:b/>
          <w:sz w:val="20"/>
          <w:lang w:val="es-ES"/>
        </w:rPr>
        <w:t xml:space="preserve"> </w:t>
      </w:r>
      <w:r w:rsidRPr="00E252CB">
        <w:rPr>
          <w:b/>
          <w:color w:val="FFC000"/>
          <w:sz w:val="20"/>
          <w:lang w:val="es-ES"/>
        </w:rPr>
        <w:t>(A. DE EJEMPLIFICACIÓN)</w:t>
      </w:r>
    </w:p>
    <w:p w:rsidR="00E252CB" w:rsidRPr="00E252CB" w:rsidRDefault="00E252CB" w:rsidP="00E252CB">
      <w:pPr>
        <w:pStyle w:val="Prrafodelista"/>
        <w:jc w:val="both"/>
        <w:rPr>
          <w:b/>
          <w:sz w:val="20"/>
          <w:lang w:val="es-ES"/>
        </w:rPr>
      </w:pPr>
    </w:p>
    <w:p w:rsidR="00E252CB" w:rsidRPr="00E252CB" w:rsidRDefault="00E252CB" w:rsidP="00E252CB">
      <w:pPr>
        <w:pStyle w:val="Prrafodelista"/>
        <w:numPr>
          <w:ilvl w:val="0"/>
          <w:numId w:val="1"/>
        </w:numPr>
        <w:jc w:val="both"/>
        <w:rPr>
          <w:b/>
          <w:sz w:val="20"/>
          <w:lang w:val="es-ES"/>
        </w:rPr>
      </w:pPr>
      <w:r w:rsidRPr="00E252CB">
        <w:rPr>
          <w:b/>
          <w:sz w:val="20"/>
          <w:lang w:val="es-ES"/>
        </w:rPr>
        <w:t>Hace cinco años hice una revisión de algunos estados financieros de universidades. Ahí pude comprobar que el negocio universitario es altamente rentable. En el país, solo la minería y los servicios financieros son actividades más redituables. Pero hay más: casi la cuarta parte de las ganancias son resultado de las exoneraciones tributarias.</w:t>
      </w:r>
      <w:r w:rsidRPr="00E252CB">
        <w:rPr>
          <w:b/>
          <w:sz w:val="20"/>
          <w:lang w:val="es-ES"/>
        </w:rPr>
        <w:t xml:space="preserve"> </w:t>
      </w:r>
      <w:r w:rsidRPr="00E252CB">
        <w:rPr>
          <w:b/>
          <w:color w:val="FFC000"/>
          <w:sz w:val="20"/>
          <w:lang w:val="es-ES"/>
        </w:rPr>
        <w:t>(A. DE HECHOS)</w:t>
      </w:r>
    </w:p>
    <w:sectPr w:rsidR="00E252CB" w:rsidRPr="00E252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12DD6"/>
    <w:multiLevelType w:val="hybridMultilevel"/>
    <w:tmpl w:val="59B4DC8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CB"/>
    <w:rsid w:val="00D14D6C"/>
    <w:rsid w:val="00E252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BEA5"/>
  <w15:chartTrackingRefBased/>
  <w15:docId w15:val="{E3CF6E87-3B90-4693-970F-F25B093C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1583</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a19202278 (Vega Ortiz, David Kenshin)</dc:creator>
  <cp:keywords/>
  <dc:description/>
  <cp:lastModifiedBy>a19202278 (Vega Ortiz, David Kenshin)</cp:lastModifiedBy>
  <cp:revision>1</cp:revision>
  <dcterms:created xsi:type="dcterms:W3CDTF">2022-03-24T04:36:00Z</dcterms:created>
  <dcterms:modified xsi:type="dcterms:W3CDTF">2022-03-24T04:50:00Z</dcterms:modified>
</cp:coreProperties>
</file>