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BF267" w14:textId="7AEBE4F4" w:rsidR="000E79E6" w:rsidRPr="00AC6F83" w:rsidRDefault="008709A6" w:rsidP="00AC6F83">
      <w:pPr>
        <w:jc w:val="center"/>
        <w:rPr>
          <w:b/>
          <w:bCs/>
        </w:rPr>
      </w:pPr>
      <w:r w:rsidRPr="00AC6F83">
        <w:rPr>
          <w:b/>
          <w:bCs/>
        </w:rPr>
        <w:t>DIRECTIVAS PARA EL PAGO DE MATRÍCULA Y CUOTAS</w:t>
      </w:r>
    </w:p>
    <w:p w14:paraId="63C909A8" w14:textId="2918EF0C" w:rsidR="00184D60" w:rsidRDefault="008709A6" w:rsidP="00AF4F95">
      <w:pPr>
        <w:pStyle w:val="Prrafodelista"/>
        <w:numPr>
          <w:ilvl w:val="0"/>
          <w:numId w:val="2"/>
        </w:numPr>
        <w:spacing w:line="276" w:lineRule="auto"/>
      </w:pPr>
      <w:r w:rsidRPr="00AC6F83">
        <w:rPr>
          <w:b/>
          <w:bCs/>
        </w:rPr>
        <w:t>Fecha de vencimiento</w:t>
      </w:r>
      <w:r>
        <w:t xml:space="preserve">: </w:t>
      </w:r>
      <w:r w:rsidR="00184D60">
        <w:t>Los 1</w:t>
      </w:r>
      <w:r w:rsidR="00600975">
        <w:t>6</w:t>
      </w:r>
      <w:r w:rsidR="00184D60">
        <w:t xml:space="preserve"> de cada mes</w:t>
      </w:r>
      <w:r w:rsidR="000B2B93">
        <w:t xml:space="preserve"> (Según cronograma </w:t>
      </w:r>
      <w:r w:rsidR="006776B2">
        <w:t>vigente</w:t>
      </w:r>
      <w:r w:rsidR="000B2B93">
        <w:t>)</w:t>
      </w:r>
    </w:p>
    <w:p w14:paraId="56ED9A68" w14:textId="0A470C78" w:rsidR="003B15BA" w:rsidRDefault="003B15BA" w:rsidP="003B15BA">
      <w:pPr>
        <w:pStyle w:val="Prrafodelista"/>
        <w:spacing w:line="276" w:lineRule="auto"/>
        <w:ind w:left="360"/>
        <w:rPr>
          <w:b/>
          <w:bCs/>
        </w:rPr>
      </w:pPr>
    </w:p>
    <w:p w14:paraId="62B60500" w14:textId="54C6141C" w:rsidR="003B15BA" w:rsidRDefault="003B15BA" w:rsidP="003B15BA">
      <w:pPr>
        <w:pStyle w:val="Prrafodelista"/>
        <w:spacing w:line="276" w:lineRule="auto"/>
        <w:ind w:left="360"/>
        <w:rPr>
          <w:b/>
          <w:bCs/>
        </w:rPr>
      </w:pPr>
      <w:r>
        <w:rPr>
          <w:b/>
          <w:bCs/>
        </w:rPr>
        <w:t xml:space="preserve">                  </w:t>
      </w:r>
      <w:r w:rsidR="003660D5">
        <w:rPr>
          <w:b/>
          <w:bCs/>
        </w:rPr>
        <w:t>Periodo 2022</w:t>
      </w:r>
      <w:r>
        <w:rPr>
          <w:b/>
          <w:bCs/>
        </w:rPr>
        <w:t>-I</w:t>
      </w:r>
      <w:r w:rsidR="002E215D">
        <w:rPr>
          <w:b/>
          <w:bCs/>
        </w:rPr>
        <w:t>E – inicio de clases 17 de enero 2022</w:t>
      </w:r>
    </w:p>
    <w:tbl>
      <w:tblPr>
        <w:tblW w:w="4320" w:type="dxa"/>
        <w:tblInd w:w="1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680"/>
      </w:tblGrid>
      <w:tr w:rsidR="003B15BA" w:rsidRPr="003B15BA" w14:paraId="2F2E70B9" w14:textId="77777777" w:rsidTr="00664B82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93CF19E" w14:textId="77777777" w:rsidR="003B15BA" w:rsidRPr="003B15BA" w:rsidRDefault="003B15BA" w:rsidP="003B15B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</w:pPr>
            <w:r w:rsidRPr="003B15BA"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  <w:t>Concepto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20E06FA" w14:textId="77777777" w:rsidR="003B15BA" w:rsidRPr="003B15BA" w:rsidRDefault="003B15BA" w:rsidP="003B15B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</w:pPr>
            <w:r w:rsidRPr="003B15BA"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  <w:t xml:space="preserve">Fecha de vencimiento </w:t>
            </w:r>
          </w:p>
        </w:tc>
      </w:tr>
      <w:tr w:rsidR="003B15BA" w:rsidRPr="003B15BA" w14:paraId="00E27731" w14:textId="77777777" w:rsidTr="003B15B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431F" w14:textId="5F2DA39D" w:rsidR="003B15BA" w:rsidRPr="003B15BA" w:rsidRDefault="003B15BA" w:rsidP="003B1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15BA">
              <w:rPr>
                <w:rFonts w:ascii="Calibri" w:eastAsia="Times New Roman" w:hAnsi="Calibri" w:cs="Calibri"/>
                <w:color w:val="000000"/>
                <w:lang w:eastAsia="es-ES"/>
              </w:rPr>
              <w:t>Cuota 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D4E6" w14:textId="3DAD297C" w:rsidR="003B15BA" w:rsidRPr="003B15BA" w:rsidRDefault="002E215D" w:rsidP="003B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17/01/2022</w:t>
            </w:r>
          </w:p>
        </w:tc>
      </w:tr>
      <w:tr w:rsidR="003B15BA" w:rsidRPr="003B15BA" w14:paraId="1B002586" w14:textId="77777777" w:rsidTr="003B15B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3B0A" w14:textId="77777777" w:rsidR="003B15BA" w:rsidRPr="003B15BA" w:rsidRDefault="003B15BA" w:rsidP="003B1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15BA">
              <w:rPr>
                <w:rFonts w:ascii="Calibri" w:eastAsia="Times New Roman" w:hAnsi="Calibri" w:cs="Calibri"/>
                <w:color w:val="000000"/>
                <w:lang w:eastAsia="es-ES"/>
              </w:rPr>
              <w:t>Cuota 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6DE" w14:textId="49196AFB" w:rsidR="003B15BA" w:rsidRPr="003B15BA" w:rsidRDefault="002E215D" w:rsidP="003B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16/02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/2022</w:t>
            </w:r>
          </w:p>
        </w:tc>
      </w:tr>
      <w:tr w:rsidR="003B15BA" w:rsidRPr="003B15BA" w14:paraId="10990C02" w14:textId="77777777" w:rsidTr="003B15B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50B8" w14:textId="77777777" w:rsidR="003B15BA" w:rsidRPr="003B15BA" w:rsidRDefault="003B15BA" w:rsidP="003B1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15BA">
              <w:rPr>
                <w:rFonts w:ascii="Calibri" w:eastAsia="Times New Roman" w:hAnsi="Calibri" w:cs="Calibri"/>
                <w:color w:val="000000"/>
                <w:lang w:eastAsia="es-ES"/>
              </w:rPr>
              <w:t>Cuota 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8C88" w14:textId="6E18ADFE" w:rsidR="003B15BA" w:rsidRPr="003B15BA" w:rsidRDefault="002E215D" w:rsidP="003B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16/03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/2022</w:t>
            </w:r>
          </w:p>
        </w:tc>
      </w:tr>
      <w:tr w:rsidR="003B15BA" w:rsidRPr="003B15BA" w14:paraId="7189E96A" w14:textId="77777777" w:rsidTr="003B15B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70F5" w14:textId="77777777" w:rsidR="003B15BA" w:rsidRPr="003B15BA" w:rsidRDefault="003B15BA" w:rsidP="003B1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15BA">
              <w:rPr>
                <w:rFonts w:ascii="Calibri" w:eastAsia="Times New Roman" w:hAnsi="Calibri" w:cs="Calibri"/>
                <w:color w:val="000000"/>
                <w:lang w:eastAsia="es-ES"/>
              </w:rPr>
              <w:t>Cuota 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44BD" w14:textId="58FD5CD2" w:rsidR="003B15BA" w:rsidRPr="003B15BA" w:rsidRDefault="002E215D" w:rsidP="003B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16/04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/2022</w:t>
            </w:r>
          </w:p>
        </w:tc>
      </w:tr>
    </w:tbl>
    <w:p w14:paraId="2892C490" w14:textId="64EA7232" w:rsidR="00AF4F95" w:rsidRDefault="00600975" w:rsidP="00600975">
      <w:pPr>
        <w:spacing w:before="240" w:after="0" w:line="276" w:lineRule="auto"/>
      </w:pPr>
      <w:r>
        <w:t xml:space="preserve">                    </w:t>
      </w:r>
    </w:p>
    <w:p w14:paraId="4020D032" w14:textId="533E7BA2" w:rsidR="00184D60" w:rsidRDefault="00184D60" w:rsidP="00DD6617">
      <w:pPr>
        <w:pStyle w:val="Prrafodelista"/>
        <w:numPr>
          <w:ilvl w:val="0"/>
          <w:numId w:val="2"/>
        </w:numPr>
        <w:spacing w:line="240" w:lineRule="auto"/>
        <w:jc w:val="both"/>
      </w:pPr>
      <w:bookmarkStart w:id="0" w:name="_Hlk51061268"/>
      <w:r w:rsidRPr="00AC6F83">
        <w:rPr>
          <w:b/>
          <w:bCs/>
        </w:rPr>
        <w:t>Formas de pago:</w:t>
      </w:r>
      <w:r>
        <w:t xml:space="preserve"> Los pagos podrá</w:t>
      </w:r>
      <w:r w:rsidR="006776B2">
        <w:t>n</w:t>
      </w:r>
      <w:r>
        <w:t xml:space="preserve"> efectuarse a través de agentes o agencias indicando </w:t>
      </w:r>
      <w:r w:rsidR="00664B82" w:rsidRPr="00D743D9">
        <w:rPr>
          <w:b/>
          <w:bCs/>
        </w:rPr>
        <w:t>IDAT</w:t>
      </w:r>
      <w:r>
        <w:t xml:space="preserve"> y el número de </w:t>
      </w:r>
      <w:r w:rsidRPr="000B2B93">
        <w:rPr>
          <w:b/>
          <w:bCs/>
        </w:rPr>
        <w:t>DNI del alumno</w:t>
      </w:r>
      <w:r>
        <w:t xml:space="preserve">; asimismo, a través de banca móvil o banca por internet en los siguientes bancos: </w:t>
      </w:r>
    </w:p>
    <w:p w14:paraId="1CA5A544" w14:textId="112BD1F7" w:rsidR="00184D60" w:rsidRDefault="00184D60" w:rsidP="00AF4F95">
      <w:pPr>
        <w:pStyle w:val="Prrafodelista"/>
        <w:spacing w:line="276" w:lineRule="auto"/>
        <w:ind w:left="360"/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AD1DEE3" wp14:editId="5922B67D">
            <wp:simplePos x="0" y="0"/>
            <wp:positionH relativeFrom="column">
              <wp:posOffset>781050</wp:posOffset>
            </wp:positionH>
            <wp:positionV relativeFrom="paragraph">
              <wp:posOffset>187960</wp:posOffset>
            </wp:positionV>
            <wp:extent cx="2673350" cy="619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990EF" w14:textId="1C399B10" w:rsidR="00184D60" w:rsidRDefault="00184D60" w:rsidP="00AF4F95">
      <w:pPr>
        <w:spacing w:line="276" w:lineRule="auto"/>
        <w:jc w:val="both"/>
      </w:pPr>
    </w:p>
    <w:p w14:paraId="640FD23B" w14:textId="35E0347B" w:rsidR="00184D60" w:rsidRDefault="00184D60" w:rsidP="00AF4F95">
      <w:pPr>
        <w:spacing w:line="276" w:lineRule="auto"/>
        <w:jc w:val="both"/>
      </w:pPr>
    </w:p>
    <w:p w14:paraId="3566A3E6" w14:textId="2B54499C" w:rsidR="00AC6F83" w:rsidRPr="00C50B79" w:rsidRDefault="00184D60" w:rsidP="00AC6F83">
      <w:pPr>
        <w:spacing w:before="240" w:line="276" w:lineRule="auto"/>
        <w:jc w:val="both"/>
        <w:rPr>
          <w:b/>
          <w:bCs/>
        </w:rPr>
      </w:pPr>
      <w:r>
        <w:t xml:space="preserve">     </w:t>
      </w:r>
      <w:r w:rsidR="00AF4F95">
        <w:t xml:space="preserve">                </w:t>
      </w:r>
      <w:r>
        <w:t xml:space="preserve"> </w:t>
      </w:r>
      <w:r w:rsidR="00AF4F95">
        <w:t xml:space="preserve"> </w:t>
      </w:r>
      <w:r w:rsidRPr="00C50B79">
        <w:rPr>
          <w:b/>
          <w:bCs/>
        </w:rPr>
        <w:t>En Agentes BCP indicar primero el código de servicio</w:t>
      </w:r>
      <w:r w:rsidRPr="00753F72">
        <w:rPr>
          <w:b/>
          <w:bCs/>
        </w:rPr>
        <w:t xml:space="preserve">: </w:t>
      </w:r>
      <w:r w:rsidR="00753F72" w:rsidRPr="00753F72">
        <w:rPr>
          <w:b/>
          <w:bCs/>
        </w:rPr>
        <w:t>01389</w:t>
      </w:r>
    </w:p>
    <w:p w14:paraId="43CFB370" w14:textId="66A18377" w:rsidR="00AC6F83" w:rsidRPr="00C50B79" w:rsidRDefault="00C37C96" w:rsidP="00DD6617">
      <w:pPr>
        <w:pStyle w:val="Prrafodelista"/>
        <w:spacing w:before="240" w:line="240" w:lineRule="auto"/>
        <w:ind w:left="360"/>
        <w:jc w:val="both"/>
      </w:pPr>
      <w:r w:rsidRPr="00C50B79">
        <w:t>Además,</w:t>
      </w:r>
      <w:r w:rsidR="00AC6F83" w:rsidRPr="00C50B79">
        <w:t xml:space="preserve"> contamos un link para que realices el pago con tarjeta</w:t>
      </w:r>
      <w:r w:rsidR="007B1976" w:rsidRPr="00C50B79">
        <w:t xml:space="preserve"> de crédito</w:t>
      </w:r>
      <w:r w:rsidR="00AC6F83" w:rsidRPr="00C50B79">
        <w:t xml:space="preserve"> </w:t>
      </w:r>
      <w:r w:rsidR="00D71B85" w:rsidRPr="00D71B85">
        <w:rPr>
          <w:rStyle w:val="Hipervnculo"/>
        </w:rPr>
        <w:t>https://zoom.i</w:t>
      </w:r>
      <w:r w:rsidR="00D71B85">
        <w:rPr>
          <w:rStyle w:val="Hipervnculo"/>
        </w:rPr>
        <w:t>dat.edu.pe/pasarelapago/consulta.</w:t>
      </w:r>
    </w:p>
    <w:p w14:paraId="1EE57DCC" w14:textId="6517B374" w:rsidR="009C10DD" w:rsidRPr="00C50B79" w:rsidRDefault="009C10DD" w:rsidP="00DD6617">
      <w:pPr>
        <w:pStyle w:val="Prrafodelista"/>
        <w:spacing w:before="240" w:line="240" w:lineRule="auto"/>
        <w:ind w:left="360"/>
        <w:jc w:val="both"/>
      </w:pPr>
    </w:p>
    <w:bookmarkEnd w:id="0"/>
    <w:p w14:paraId="3C72F720" w14:textId="77777777" w:rsidR="00455DEC" w:rsidRDefault="00AF4F95" w:rsidP="00455DEC">
      <w:pPr>
        <w:pStyle w:val="Prrafodelista"/>
        <w:numPr>
          <w:ilvl w:val="0"/>
          <w:numId w:val="2"/>
        </w:numPr>
        <w:spacing w:before="240" w:line="240" w:lineRule="auto"/>
        <w:jc w:val="both"/>
      </w:pPr>
      <w:r w:rsidRPr="00C50B79">
        <w:rPr>
          <w:b/>
          <w:bCs/>
        </w:rPr>
        <w:t>Descuentos:</w:t>
      </w:r>
      <w:r w:rsidRPr="00C50B79">
        <w:t xml:space="preserve"> Las cuotas tienen </w:t>
      </w:r>
      <w:r w:rsidRPr="00C50B79">
        <w:rPr>
          <w:b/>
          <w:bCs/>
        </w:rPr>
        <w:t>descuento PPPM</w:t>
      </w:r>
      <w:r w:rsidRPr="00C50B79">
        <w:t xml:space="preserve"> (Paga Puntual Paga Menos)</w:t>
      </w:r>
      <w:r w:rsidR="00D71B85">
        <w:t xml:space="preserve">, que va desde el </w:t>
      </w:r>
      <w:r w:rsidR="00753F72" w:rsidRPr="00753F72">
        <w:t>5</w:t>
      </w:r>
      <w:r w:rsidR="00FA19DF" w:rsidRPr="00753F72">
        <w:t>%</w:t>
      </w:r>
      <w:r w:rsidR="00FA19DF" w:rsidRPr="00C50B79">
        <w:t xml:space="preserve"> dependiendo el periodo académico y </w:t>
      </w:r>
      <w:r w:rsidRPr="00C50B79">
        <w:t>el cual no es acumulable con otros descuentos</w:t>
      </w:r>
      <w:r w:rsidR="003B15BA" w:rsidRPr="00C50B79">
        <w:t>*</w:t>
      </w:r>
      <w:r w:rsidRPr="00C50B79">
        <w:t>.</w:t>
      </w:r>
    </w:p>
    <w:p w14:paraId="1D916F58" w14:textId="04B8B135" w:rsidR="003B15BA" w:rsidRPr="00C50B79" w:rsidRDefault="00FA19DF" w:rsidP="00455DEC">
      <w:pPr>
        <w:pStyle w:val="Prrafodelista"/>
        <w:spacing w:before="240" w:line="240" w:lineRule="auto"/>
        <w:ind w:left="360"/>
        <w:jc w:val="both"/>
      </w:pPr>
      <w:r w:rsidRPr="00C50B79">
        <w:t xml:space="preserve"> </w:t>
      </w:r>
    </w:p>
    <w:p w14:paraId="71D35AE8" w14:textId="3A311130" w:rsidR="00FA19DF" w:rsidRDefault="00FA19DF" w:rsidP="0072377B">
      <w:pPr>
        <w:pStyle w:val="Prrafodelista"/>
        <w:spacing w:before="240" w:line="240" w:lineRule="auto"/>
        <w:ind w:left="360"/>
        <w:jc w:val="both"/>
        <w:rPr>
          <w:b/>
          <w:bCs/>
        </w:rPr>
      </w:pPr>
      <w:r w:rsidRPr="00C50B79">
        <w:rPr>
          <w:b/>
          <w:bCs/>
        </w:rPr>
        <w:t>*</w:t>
      </w:r>
      <w:r w:rsidRPr="00C50B79">
        <w:t xml:space="preserve">Todo tipo de descuento está vigente hasta </w:t>
      </w:r>
      <w:r w:rsidR="00222CFD" w:rsidRPr="00C50B79">
        <w:t>la fecha de vencimiento de su cuota según su cronograma, de no cancelar en la fecha indicada la cuota se genera con su precio regular (Sin descuento).</w:t>
      </w:r>
      <w:r w:rsidR="00222CFD">
        <w:rPr>
          <w:b/>
          <w:bCs/>
        </w:rPr>
        <w:t xml:space="preserve"> </w:t>
      </w:r>
    </w:p>
    <w:p w14:paraId="772D9B0E" w14:textId="24B78301" w:rsidR="007B1976" w:rsidRPr="00C50B79" w:rsidRDefault="007B1976" w:rsidP="007B1976">
      <w:pPr>
        <w:pStyle w:val="Prrafodelista"/>
        <w:spacing w:before="240" w:line="240" w:lineRule="auto"/>
        <w:ind w:left="360"/>
        <w:jc w:val="both"/>
      </w:pPr>
      <w:r w:rsidRPr="00C50B79">
        <w:rPr>
          <w:b/>
          <w:bCs/>
        </w:rPr>
        <w:t>*</w:t>
      </w:r>
      <w:r w:rsidRPr="00C50B79">
        <w:t xml:space="preserve">Tipos de descuentos: Club </w:t>
      </w:r>
      <w:proofErr w:type="spellStart"/>
      <w:r w:rsidRPr="00C50B79">
        <w:t>Intercorp</w:t>
      </w:r>
      <w:proofErr w:type="spellEnd"/>
      <w:r w:rsidRPr="00C50B79">
        <w:t xml:space="preserve">, RPC (Red </w:t>
      </w:r>
      <w:proofErr w:type="spellStart"/>
      <w:r w:rsidRPr="00C50B79">
        <w:t>partners</w:t>
      </w:r>
      <w:proofErr w:type="spellEnd"/>
      <w:r w:rsidRPr="00C50B79">
        <w:t xml:space="preserve"> corporativos), Becas (Socioeconómicas, académica, orden de mérito, Actívate Perú), y cualquier otro descuento que se haya brindado</w:t>
      </w:r>
      <w:r w:rsidR="00C50B79">
        <w:t xml:space="preserve"> al alumno</w:t>
      </w:r>
      <w:r w:rsidRPr="00C50B79">
        <w:t xml:space="preserve">.  </w:t>
      </w:r>
    </w:p>
    <w:p w14:paraId="076D344F" w14:textId="77777777" w:rsidR="00222CFD" w:rsidRPr="00C50B79" w:rsidRDefault="00222CFD" w:rsidP="0072377B">
      <w:pPr>
        <w:pStyle w:val="Prrafodelista"/>
        <w:spacing w:before="240" w:line="240" w:lineRule="auto"/>
        <w:ind w:left="360"/>
        <w:jc w:val="both"/>
      </w:pPr>
    </w:p>
    <w:p w14:paraId="75484EA3" w14:textId="163A1B29" w:rsidR="00AF4F95" w:rsidRPr="00C50B79" w:rsidRDefault="00FF68BC" w:rsidP="0072377B">
      <w:pPr>
        <w:pStyle w:val="Prrafodelista"/>
        <w:spacing w:before="240" w:after="0" w:line="240" w:lineRule="auto"/>
        <w:ind w:left="360"/>
        <w:jc w:val="both"/>
      </w:pPr>
      <w:r w:rsidRPr="00C50B79">
        <w:rPr>
          <w:b/>
          <w:bCs/>
        </w:rPr>
        <w:t>Nota</w:t>
      </w:r>
      <w:r w:rsidRPr="00C50B79">
        <w:t xml:space="preserve">: </w:t>
      </w:r>
      <w:proofErr w:type="spellStart"/>
      <w:r w:rsidR="00600975">
        <w:t>Idat</w:t>
      </w:r>
      <w:proofErr w:type="spellEnd"/>
      <w:r w:rsidRPr="00C50B79">
        <w:t xml:space="preserve"> se reserva el derecho de establecer los descuentos vigentes de acuerdo</w:t>
      </w:r>
      <w:r w:rsidR="007B1976" w:rsidRPr="00C50B79">
        <w:t xml:space="preserve"> a las fechas definidas por la I</w:t>
      </w:r>
      <w:r w:rsidRPr="00C50B79">
        <w:t>nstitución.</w:t>
      </w:r>
    </w:p>
    <w:p w14:paraId="39DA82D9" w14:textId="77777777" w:rsidR="00EC63B3" w:rsidRPr="00C50B79" w:rsidRDefault="00EC63B3" w:rsidP="0072377B">
      <w:pPr>
        <w:pStyle w:val="Prrafodelista"/>
        <w:spacing w:before="240" w:after="0" w:line="240" w:lineRule="auto"/>
        <w:ind w:left="360"/>
        <w:jc w:val="both"/>
      </w:pPr>
    </w:p>
    <w:p w14:paraId="42F90E27" w14:textId="217F5B4C" w:rsidR="00222CFD" w:rsidRPr="00C50B79" w:rsidRDefault="00AF4F95" w:rsidP="0072377B">
      <w:pPr>
        <w:pStyle w:val="Prrafodelista"/>
        <w:numPr>
          <w:ilvl w:val="0"/>
          <w:numId w:val="2"/>
        </w:numPr>
        <w:spacing w:line="240" w:lineRule="auto"/>
        <w:jc w:val="both"/>
      </w:pPr>
      <w:r w:rsidRPr="00C50B79">
        <w:rPr>
          <w:b/>
          <w:bCs/>
        </w:rPr>
        <w:t>Comprobante de pago:</w:t>
      </w:r>
      <w:r w:rsidRPr="00C50B79">
        <w:t xml:space="preserve"> </w:t>
      </w:r>
      <w:r w:rsidR="00222CFD" w:rsidRPr="00C50B79">
        <w:t xml:space="preserve">En caso solicite cambio de comprobante de boleta a factura deberá presentar su carta de </w:t>
      </w:r>
      <w:proofErr w:type="spellStart"/>
      <w:r w:rsidR="00222CFD" w:rsidRPr="00C50B79">
        <w:t>pagante</w:t>
      </w:r>
      <w:proofErr w:type="spellEnd"/>
      <w:r w:rsidR="00222CFD" w:rsidRPr="00C50B79">
        <w:t xml:space="preserve"> empresa mínimo 7 días antes del vencimiento de la cuota. </w:t>
      </w:r>
    </w:p>
    <w:p w14:paraId="1B2928CD" w14:textId="77777777" w:rsidR="00222CFD" w:rsidRPr="00C50B79" w:rsidRDefault="00222CFD" w:rsidP="0072377B">
      <w:pPr>
        <w:pStyle w:val="Prrafodelista"/>
        <w:spacing w:line="240" w:lineRule="auto"/>
        <w:ind w:left="360"/>
        <w:jc w:val="both"/>
        <w:rPr>
          <w:b/>
          <w:bCs/>
        </w:rPr>
      </w:pPr>
    </w:p>
    <w:p w14:paraId="345A6B13" w14:textId="000E680D" w:rsidR="00AF4F95" w:rsidRPr="00C50B79" w:rsidRDefault="00222CFD" w:rsidP="0072377B">
      <w:pPr>
        <w:pStyle w:val="Prrafodelista"/>
        <w:spacing w:before="240" w:after="0" w:line="240" w:lineRule="auto"/>
        <w:ind w:left="360"/>
        <w:jc w:val="both"/>
      </w:pPr>
      <w:r w:rsidRPr="00C50B79">
        <w:t xml:space="preserve"> </w:t>
      </w:r>
      <w:r w:rsidRPr="00C50B79">
        <w:rPr>
          <w:b/>
          <w:bCs/>
        </w:rPr>
        <w:t>Nota</w:t>
      </w:r>
      <w:r w:rsidRPr="00C50B79">
        <w:t xml:space="preserve">: Tener en cuenta que el cambio no es retroactivo para las cuotas ya canceladas o emitidas, por lo que el cambio se hará efectivo para las cuotas posteriores a la fecha de presentación de la carta. </w:t>
      </w:r>
    </w:p>
    <w:p w14:paraId="43BA65CE" w14:textId="77777777" w:rsidR="00222CFD" w:rsidRPr="00C50B79" w:rsidRDefault="00222CFD" w:rsidP="0072377B">
      <w:pPr>
        <w:pStyle w:val="Prrafodelista"/>
        <w:spacing w:before="240" w:after="0" w:line="240" w:lineRule="auto"/>
        <w:ind w:left="360"/>
        <w:jc w:val="both"/>
      </w:pPr>
      <w:bookmarkStart w:id="1" w:name="_GoBack"/>
    </w:p>
    <w:bookmarkEnd w:id="1"/>
    <w:p w14:paraId="283FD851" w14:textId="04665261" w:rsidR="00AF4F95" w:rsidRPr="00C50B79" w:rsidRDefault="00AF4F95" w:rsidP="0072377B">
      <w:pPr>
        <w:pStyle w:val="Prrafodelista"/>
        <w:numPr>
          <w:ilvl w:val="0"/>
          <w:numId w:val="2"/>
        </w:numPr>
        <w:spacing w:line="240" w:lineRule="auto"/>
        <w:jc w:val="both"/>
      </w:pPr>
      <w:r w:rsidRPr="00C50B79">
        <w:t>La inasistencia al ciclo no supone el reembolso del dinero abonado.</w:t>
      </w:r>
    </w:p>
    <w:p w14:paraId="64730D88" w14:textId="77777777" w:rsidR="0072377B" w:rsidRPr="00C50B79" w:rsidRDefault="0072377B" w:rsidP="0072377B">
      <w:pPr>
        <w:pStyle w:val="Prrafodelista"/>
        <w:spacing w:line="240" w:lineRule="auto"/>
        <w:ind w:left="360"/>
        <w:jc w:val="both"/>
      </w:pPr>
    </w:p>
    <w:p w14:paraId="18835910" w14:textId="0AAA5998" w:rsidR="0072377B" w:rsidRPr="00C50B79" w:rsidRDefault="004A254B" w:rsidP="004A254B">
      <w:pPr>
        <w:pStyle w:val="Prrafodelista"/>
        <w:numPr>
          <w:ilvl w:val="0"/>
          <w:numId w:val="2"/>
        </w:numPr>
        <w:spacing w:line="240" w:lineRule="auto"/>
        <w:jc w:val="both"/>
      </w:pPr>
      <w:r w:rsidRPr="004A254B">
        <w:t>El monto de matrícula o monto de separación de vacante, no tienen derecho a devolución, ni reserva ni traslado a otro inicio o Programa. Solo se devolverán las cuotas que se hayan pagado de forma adelantada, de ser el caso, descontando el monto por concepto de gastos administrativos según la Sede de procedencia.</w:t>
      </w:r>
    </w:p>
    <w:p w14:paraId="26A37F72" w14:textId="77777777" w:rsidR="00AF4F95" w:rsidRPr="00C50B79" w:rsidRDefault="00AF4F95" w:rsidP="0072377B">
      <w:pPr>
        <w:pStyle w:val="Prrafodelista"/>
        <w:spacing w:line="240" w:lineRule="auto"/>
        <w:jc w:val="both"/>
      </w:pPr>
    </w:p>
    <w:p w14:paraId="1B08A4DD" w14:textId="75C4A264" w:rsidR="0072377B" w:rsidRPr="00C50B79" w:rsidRDefault="0072377B" w:rsidP="0072377B">
      <w:pPr>
        <w:pStyle w:val="Prrafodelista"/>
        <w:numPr>
          <w:ilvl w:val="0"/>
          <w:numId w:val="2"/>
        </w:numPr>
        <w:spacing w:before="240" w:line="240" w:lineRule="auto"/>
        <w:jc w:val="both"/>
      </w:pPr>
      <w:r w:rsidRPr="00C50B79">
        <w:rPr>
          <w:b/>
          <w:bCs/>
        </w:rPr>
        <w:t>Devoluciones pago al contado (ciclo completo)</w:t>
      </w:r>
      <w:r w:rsidRPr="00C50B79">
        <w:t xml:space="preserve">:  </w:t>
      </w:r>
    </w:p>
    <w:p w14:paraId="42D9A8B4" w14:textId="77777777" w:rsidR="0072377B" w:rsidRPr="00C50B79" w:rsidRDefault="0072377B" w:rsidP="0072377B">
      <w:pPr>
        <w:pStyle w:val="Prrafodelista"/>
        <w:spacing w:before="240" w:line="240" w:lineRule="auto"/>
        <w:jc w:val="both"/>
      </w:pPr>
    </w:p>
    <w:p w14:paraId="6A77D31F" w14:textId="773B94A5" w:rsidR="0072377B" w:rsidRPr="00C50B79" w:rsidRDefault="0072377B" w:rsidP="0072377B">
      <w:pPr>
        <w:pStyle w:val="Prrafodelista"/>
        <w:numPr>
          <w:ilvl w:val="1"/>
          <w:numId w:val="2"/>
        </w:numPr>
        <w:spacing w:before="240" w:line="240" w:lineRule="auto"/>
        <w:jc w:val="both"/>
      </w:pPr>
      <w:r w:rsidRPr="00C50B79">
        <w:t xml:space="preserve">Si el alumno se retira antes del inicio de clases, al monto pagado, se le descontará </w:t>
      </w:r>
      <w:r w:rsidR="00A50082">
        <w:t xml:space="preserve">la cuota de matrícula según </w:t>
      </w:r>
      <w:r w:rsidR="007B1976" w:rsidRPr="00C50B79">
        <w:t xml:space="preserve">precio de lista sin </w:t>
      </w:r>
      <w:r w:rsidR="0099044F" w:rsidRPr="00C50B79">
        <w:t>descuento y</w:t>
      </w:r>
      <w:r w:rsidRPr="00C50B79">
        <w:t xml:space="preserve"> los gastos administrativos. El monto restante se devolverá al alumno.</w:t>
      </w:r>
    </w:p>
    <w:p w14:paraId="0B0C7CF5" w14:textId="77777777" w:rsidR="0072377B" w:rsidRPr="00C50B79" w:rsidRDefault="0072377B" w:rsidP="0072377B">
      <w:pPr>
        <w:pStyle w:val="Prrafodelista"/>
        <w:spacing w:line="240" w:lineRule="auto"/>
        <w:jc w:val="both"/>
      </w:pPr>
    </w:p>
    <w:p w14:paraId="55EB99CA" w14:textId="6BBD736F" w:rsidR="0072377B" w:rsidRPr="00C50B79" w:rsidRDefault="0072377B" w:rsidP="0072377B">
      <w:pPr>
        <w:pStyle w:val="Prrafodelista"/>
        <w:numPr>
          <w:ilvl w:val="1"/>
          <w:numId w:val="2"/>
        </w:numPr>
        <w:spacing w:line="240" w:lineRule="auto"/>
        <w:jc w:val="both"/>
      </w:pPr>
      <w:r w:rsidRPr="00C50B79">
        <w:t xml:space="preserve">Si el alumno se retira después de iniciada las clases, al monto pagado, se le descontará </w:t>
      </w:r>
      <w:r w:rsidR="003D6DCE">
        <w:t xml:space="preserve">la cuota de matrícula, la cuota del mes de estudiado, ambos según precio de lista (sin descuento) </w:t>
      </w:r>
      <w:r w:rsidR="003D6DCE" w:rsidRPr="00C50B79">
        <w:t>y,</w:t>
      </w:r>
      <w:r w:rsidR="003D6DCE">
        <w:t xml:space="preserve"> </w:t>
      </w:r>
      <w:r w:rsidR="0099044F">
        <w:t xml:space="preserve">también, </w:t>
      </w:r>
      <w:r w:rsidR="0099044F" w:rsidRPr="00C50B79">
        <w:t>los</w:t>
      </w:r>
      <w:r w:rsidRPr="00C50B79">
        <w:t xml:space="preserve"> gastos administrativos. El monto restante se devolverá al alumno</w:t>
      </w:r>
      <w:r w:rsidR="00673589" w:rsidRPr="00C50B79">
        <w:t>.</w:t>
      </w:r>
    </w:p>
    <w:p w14:paraId="4A77B173" w14:textId="77777777" w:rsidR="0072377B" w:rsidRDefault="0072377B" w:rsidP="0072377B">
      <w:pPr>
        <w:pStyle w:val="Prrafodelista"/>
      </w:pPr>
    </w:p>
    <w:p w14:paraId="5D65D4D9" w14:textId="456C3BB6" w:rsidR="00AF4F95" w:rsidRPr="003D6DCE" w:rsidRDefault="00AF4F95" w:rsidP="00E42A91">
      <w:pPr>
        <w:pStyle w:val="Prrafodelista"/>
        <w:numPr>
          <w:ilvl w:val="0"/>
          <w:numId w:val="2"/>
        </w:numPr>
        <w:spacing w:line="240" w:lineRule="auto"/>
      </w:pPr>
      <w:r w:rsidRPr="00E42A91">
        <w:t xml:space="preserve">El alumno deberá gestionar su retiro de manera </w:t>
      </w:r>
      <w:r w:rsidR="00673589" w:rsidRPr="00E42A91">
        <w:t>formal</w:t>
      </w:r>
      <w:r w:rsidRPr="00E42A91">
        <w:t xml:space="preserve"> </w:t>
      </w:r>
      <w:r w:rsidR="006776B2" w:rsidRPr="00E42A91">
        <w:t xml:space="preserve">al área de Servicios al Estudiante </w:t>
      </w:r>
      <w:r w:rsidR="00E42A91" w:rsidRPr="00E42A91">
        <w:t>y/o por el siguiente link</w:t>
      </w:r>
      <w:r w:rsidR="006776B2" w:rsidRPr="00E42A91">
        <w:t xml:space="preserve"> </w:t>
      </w:r>
      <w:hyperlink r:id="rId6" w:history="1">
        <w:r w:rsidR="00E42A91" w:rsidRPr="00212873">
          <w:rPr>
            <w:rStyle w:val="Hipervnculo"/>
          </w:rPr>
          <w:t>https://saeidat.zendesk.com/hc/es/articles/115000236732-Retiro-del-per%C3%ADodo-lectivo</w:t>
        </w:r>
      </w:hyperlink>
      <w:r w:rsidR="00E42A91">
        <w:rPr>
          <w:rStyle w:val="Hipervnculo"/>
        </w:rPr>
        <w:t xml:space="preserve"> </w:t>
      </w:r>
      <w:r>
        <w:t>para no emitir las cuotas siguientes. Si al momento de presentar la solicitud de retiro la boleta de la cuota del mes ha s</w:t>
      </w:r>
      <w:r w:rsidRPr="003D6DCE">
        <w:t xml:space="preserve">ido </w:t>
      </w:r>
      <w:r w:rsidR="006776B2" w:rsidRPr="003D6DCE">
        <w:t>emitida</w:t>
      </w:r>
      <w:r w:rsidRPr="003D6DCE">
        <w:t>, esta deberá ser cancelada.</w:t>
      </w:r>
    </w:p>
    <w:p w14:paraId="7845B319" w14:textId="77777777" w:rsidR="00AF4F95" w:rsidRPr="003D6DCE" w:rsidRDefault="00AF4F95" w:rsidP="0072377B">
      <w:pPr>
        <w:pStyle w:val="Prrafodelista"/>
        <w:spacing w:line="240" w:lineRule="auto"/>
        <w:jc w:val="both"/>
      </w:pPr>
    </w:p>
    <w:p w14:paraId="4ECF0D7F" w14:textId="179BD633" w:rsidR="00AF4F95" w:rsidRPr="003D6DCE" w:rsidRDefault="00AF4F95" w:rsidP="0072377B">
      <w:pPr>
        <w:pStyle w:val="Prrafodelista"/>
        <w:numPr>
          <w:ilvl w:val="0"/>
          <w:numId w:val="2"/>
        </w:numPr>
        <w:spacing w:line="240" w:lineRule="auto"/>
        <w:jc w:val="both"/>
      </w:pPr>
      <w:r w:rsidRPr="003D6DCE">
        <w:lastRenderedPageBreak/>
        <w:t xml:space="preserve">El incumplimiento de pago de </w:t>
      </w:r>
      <w:r w:rsidR="00673589" w:rsidRPr="003D6DCE">
        <w:t xml:space="preserve">una o más cuotas </w:t>
      </w:r>
      <w:r w:rsidRPr="003D6DCE">
        <w:t>con más de 60 días de vencimiento será</w:t>
      </w:r>
      <w:r w:rsidR="00673589" w:rsidRPr="003D6DCE">
        <w:t>(n)</w:t>
      </w:r>
      <w:r w:rsidRPr="003D6DCE">
        <w:t xml:space="preserve"> reportado a </w:t>
      </w:r>
      <w:r w:rsidR="00C37C96" w:rsidRPr="003D6DCE">
        <w:rPr>
          <w:b/>
          <w:bCs/>
        </w:rPr>
        <w:t>LAS CENTRALES DE RIESGO CREDITICIO</w:t>
      </w:r>
      <w:r w:rsidRPr="003D6DCE">
        <w:t>.</w:t>
      </w:r>
    </w:p>
    <w:p w14:paraId="46BECCE1" w14:textId="77777777" w:rsidR="00AF4F95" w:rsidRPr="003D6DCE" w:rsidRDefault="00AF4F95" w:rsidP="0072377B">
      <w:pPr>
        <w:pStyle w:val="Prrafodelista"/>
        <w:spacing w:line="240" w:lineRule="auto"/>
        <w:jc w:val="both"/>
      </w:pPr>
    </w:p>
    <w:p w14:paraId="00743A92" w14:textId="5CB11497" w:rsidR="00AF4F95" w:rsidRPr="003D6DCE" w:rsidRDefault="00AF4F95" w:rsidP="0072377B">
      <w:pPr>
        <w:pStyle w:val="Prrafodelista"/>
        <w:numPr>
          <w:ilvl w:val="0"/>
          <w:numId w:val="2"/>
        </w:numPr>
        <w:spacing w:line="240" w:lineRule="auto"/>
        <w:jc w:val="both"/>
      </w:pPr>
      <w:r w:rsidRPr="003D6DCE">
        <w:t xml:space="preserve">El punto 3 </w:t>
      </w:r>
      <w:r w:rsidRPr="003D6DCE">
        <w:rPr>
          <w:b/>
          <w:bCs/>
        </w:rPr>
        <w:t>No es aplicable</w:t>
      </w:r>
      <w:r w:rsidRPr="003D6DCE">
        <w:t xml:space="preserve"> para:</w:t>
      </w:r>
    </w:p>
    <w:p w14:paraId="071B1A62" w14:textId="4379A776" w:rsidR="00AF4F95" w:rsidRPr="003D6DCE" w:rsidRDefault="00AF4F95" w:rsidP="0072377B">
      <w:pPr>
        <w:spacing w:after="0" w:line="240" w:lineRule="auto"/>
        <w:jc w:val="both"/>
      </w:pPr>
      <w:r w:rsidRPr="003D6DCE">
        <w:t xml:space="preserve"> - </w:t>
      </w:r>
      <w:r w:rsidR="00E70E05" w:rsidRPr="003D6DCE">
        <w:t>C</w:t>
      </w:r>
      <w:r w:rsidRPr="003D6DCE">
        <w:t>uota</w:t>
      </w:r>
      <w:r w:rsidR="00E70E05" w:rsidRPr="003D6DCE">
        <w:t>s vencidas.</w:t>
      </w:r>
    </w:p>
    <w:p w14:paraId="00663CF1" w14:textId="315A6189" w:rsidR="00AF4F95" w:rsidRPr="003D6DCE" w:rsidRDefault="00AF4F95" w:rsidP="0072377B">
      <w:pPr>
        <w:spacing w:after="0" w:line="240" w:lineRule="auto"/>
        <w:jc w:val="both"/>
      </w:pPr>
      <w:r w:rsidRPr="003D6DCE">
        <w:t xml:space="preserve"> - </w:t>
      </w:r>
      <w:r w:rsidR="00E70E05" w:rsidRPr="003D6DCE">
        <w:t>E</w:t>
      </w:r>
      <w:r w:rsidRPr="003D6DCE">
        <w:t>misiones de factura con descuento antes de la cancelación</w:t>
      </w:r>
      <w:r w:rsidR="00FF68BC" w:rsidRPr="003D6DCE">
        <w:t xml:space="preserve">. </w:t>
      </w:r>
    </w:p>
    <w:p w14:paraId="4AA89879" w14:textId="33846AAA" w:rsidR="00AF4F95" w:rsidRPr="003D6DCE" w:rsidRDefault="00AF4F95" w:rsidP="0072377B">
      <w:pPr>
        <w:spacing w:after="0" w:line="240" w:lineRule="auto"/>
        <w:jc w:val="both"/>
      </w:pPr>
      <w:r w:rsidRPr="003D6DCE">
        <w:t xml:space="preserve"> - </w:t>
      </w:r>
      <w:r w:rsidR="00E70E05" w:rsidRPr="003D6DCE">
        <w:t>P</w:t>
      </w:r>
      <w:r w:rsidRPr="003D6DCE">
        <w:t>agos parciales</w:t>
      </w:r>
      <w:r w:rsidR="00E70E05" w:rsidRPr="003D6DCE">
        <w:t xml:space="preserve"> posteriores a la fecha de vencimiento. </w:t>
      </w:r>
    </w:p>
    <w:p w14:paraId="06D62663" w14:textId="634B1789" w:rsidR="00AF4F95" w:rsidRPr="003D6DCE" w:rsidRDefault="00AF4F95" w:rsidP="0072377B">
      <w:pPr>
        <w:spacing w:after="0" w:line="240" w:lineRule="auto"/>
        <w:jc w:val="both"/>
      </w:pPr>
      <w:r w:rsidRPr="003D6DCE">
        <w:t xml:space="preserve"> - </w:t>
      </w:r>
      <w:r w:rsidR="00E70E05" w:rsidRPr="003D6DCE">
        <w:t>P</w:t>
      </w:r>
      <w:r w:rsidRPr="003D6DCE">
        <w:t>agos con saldos a favor</w:t>
      </w:r>
      <w:r w:rsidR="00E70E05" w:rsidRPr="003D6DCE">
        <w:t xml:space="preserve"> posteriores a la fecha de vencimiento.</w:t>
      </w:r>
    </w:p>
    <w:p w14:paraId="0F6EA0CD" w14:textId="221B96E4" w:rsidR="00EC63B3" w:rsidRPr="003D6DCE" w:rsidRDefault="00EC63B3" w:rsidP="00DD6617">
      <w:pPr>
        <w:spacing w:after="0" w:line="240" w:lineRule="auto"/>
        <w:jc w:val="both"/>
      </w:pPr>
    </w:p>
    <w:p w14:paraId="17786812" w14:textId="5A10B3E2" w:rsidR="00EC63B3" w:rsidRDefault="003D6DCE" w:rsidP="00DD6617">
      <w:pPr>
        <w:spacing w:after="0" w:line="240" w:lineRule="auto"/>
        <w:jc w:val="both"/>
      </w:pPr>
      <w:r w:rsidRPr="003D6DCE">
        <w:t xml:space="preserve">RECUERDA, </w:t>
      </w:r>
      <w:r w:rsidR="00600975">
        <w:t xml:space="preserve">a las cuotas vencidas se cobrará un interés moratorio, el cual </w:t>
      </w:r>
      <w:r w:rsidR="00E42A91">
        <w:t>está</w:t>
      </w:r>
      <w:r w:rsidR="00600975">
        <w:t xml:space="preserve"> establecido por el BCR para las operaciones ajenas al Sistema Financiero.</w:t>
      </w:r>
    </w:p>
    <w:p w14:paraId="52568718" w14:textId="3329E3D9" w:rsidR="00AC6F83" w:rsidRDefault="00AC6F83" w:rsidP="00DD6617">
      <w:pPr>
        <w:spacing w:after="0" w:line="240" w:lineRule="auto"/>
        <w:jc w:val="both"/>
      </w:pPr>
    </w:p>
    <w:p w14:paraId="6916C93B" w14:textId="358C7CF3" w:rsidR="0072377B" w:rsidRPr="00455DEC" w:rsidRDefault="0072377B" w:rsidP="0072377B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55DEC">
        <w:t xml:space="preserve">En caso de tener consultas contáctate con: </w:t>
      </w:r>
    </w:p>
    <w:p w14:paraId="021BBBE2" w14:textId="1332CE1B" w:rsidR="0072377B" w:rsidRDefault="0072377B" w:rsidP="0072377B">
      <w:pPr>
        <w:spacing w:after="0" w:line="240" w:lineRule="auto"/>
        <w:jc w:val="both"/>
      </w:pPr>
    </w:p>
    <w:tbl>
      <w:tblPr>
        <w:tblW w:w="7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693"/>
        <w:gridCol w:w="2413"/>
      </w:tblGrid>
      <w:tr w:rsidR="00AA0A06" w:rsidRPr="00AA0A06" w14:paraId="01FE17E1" w14:textId="77777777" w:rsidTr="001868C1">
        <w:trPr>
          <w:trHeight w:val="31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2A935594" w14:textId="77777777" w:rsidR="00AA0A06" w:rsidRPr="00AA0A06" w:rsidRDefault="00AA0A06" w:rsidP="00AA0A06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</w:pPr>
            <w:r w:rsidRPr="00AA0A06"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  <w:t>Sede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146DABD" w14:textId="447CD426" w:rsidR="00AA0A06" w:rsidRPr="00AA0A06" w:rsidRDefault="00AA0A06" w:rsidP="00AA0A06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</w:pPr>
            <w:r w:rsidRPr="00AA0A06"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  <w:t>Asesor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46428BE8" w14:textId="77777777" w:rsidR="00AA0A06" w:rsidRPr="00AA0A06" w:rsidRDefault="00AA0A06" w:rsidP="00AA0A06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</w:pPr>
            <w:r w:rsidRPr="00AA0A06">
              <w:rPr>
                <w:rFonts w:eastAsia="Times New Roman" w:cstheme="minorHAnsi"/>
                <w:b/>
                <w:bCs/>
                <w:color w:val="FFFFFF" w:themeColor="background1"/>
                <w:lang w:eastAsia="es-ES"/>
              </w:rPr>
              <w:t>Correo</w:t>
            </w:r>
          </w:p>
        </w:tc>
      </w:tr>
      <w:tr w:rsidR="00E42A91" w:rsidRPr="00AA0A06" w14:paraId="4D58C680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6C8FD" w14:textId="77F31593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 xml:space="preserve">Petit </w:t>
            </w:r>
            <w:proofErr w:type="spellStart"/>
            <w:r w:rsidRPr="00E52CB0">
              <w:t>Thouars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958DF" w14:textId="765B9579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Max Salas Espinoza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32E01" w14:textId="49407A43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E52CB0">
              <w:t>msalase@idat.edu.pe</w:t>
            </w:r>
          </w:p>
        </w:tc>
      </w:tr>
      <w:tr w:rsidR="00E42A91" w:rsidRPr="00AA0A06" w14:paraId="1E296E37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3EE8B" w14:textId="7A9E0383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346BA" w14:textId="165F2A32" w:rsidR="00E42A91" w:rsidRPr="00AA0A06" w:rsidRDefault="00455DEC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proofErr w:type="spellStart"/>
            <w:r>
              <w:t>Rud</w:t>
            </w:r>
            <w:proofErr w:type="spellEnd"/>
            <w:r>
              <w:t xml:space="preserve"> Ayala Valderrama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D2D8D" w14:textId="51BED9D8" w:rsidR="00E42A91" w:rsidRPr="00AA0A06" w:rsidRDefault="00455DEC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>
              <w:t>rayala</w:t>
            </w:r>
            <w:r w:rsidR="00E42A91" w:rsidRPr="00E52CB0">
              <w:t>@idat.edu.pe</w:t>
            </w:r>
          </w:p>
        </w:tc>
      </w:tr>
      <w:tr w:rsidR="00E42A91" w:rsidRPr="00AA0A06" w14:paraId="7429FB89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5EE5A" w14:textId="091D7CD5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Wilson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5B947" w14:textId="0A9AA475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Williams De La Cruz Quispe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1B6AE" w14:textId="4E688B18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E52CB0">
              <w:t>wdelacruz@idat.edu.pe</w:t>
            </w:r>
          </w:p>
        </w:tc>
      </w:tr>
      <w:tr w:rsidR="00E42A91" w:rsidRPr="00AA0A06" w14:paraId="1371D3D3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BE2B" w14:textId="55348730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Chiclayo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333C9" w14:textId="54A7D3E9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Mauricio Ipanaque Campos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A0C2" w14:textId="5CD59476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E52CB0">
              <w:t>mipanaque@idat.edu.pe</w:t>
            </w:r>
          </w:p>
        </w:tc>
      </w:tr>
      <w:tr w:rsidR="00E42A91" w:rsidRPr="00AA0A06" w14:paraId="47831DC8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7F29D" w14:textId="7CBD7DE7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Piura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32F6A" w14:textId="2671BB8B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Sheyla Janampa Garcia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EC473" w14:textId="205CAB3D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E52CB0">
              <w:t>sjanampa@idat.edu.pe</w:t>
            </w:r>
          </w:p>
        </w:tc>
      </w:tr>
      <w:tr w:rsidR="00E42A91" w:rsidRPr="00AA0A06" w14:paraId="0255D3E8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6FBB" w14:textId="18501945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San Juan de Miraflores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05E3" w14:textId="6B4CE475" w:rsidR="00E42A91" w:rsidRPr="00AA0A06" w:rsidRDefault="002E215D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2E215D">
              <w:t>Jhoana Diaz Gutierrez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7D511" w14:textId="056A6390" w:rsidR="00E42A91" w:rsidRPr="00AA0A06" w:rsidRDefault="002E215D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2E215D">
              <w:t>jdiazg@idat.edu.pe</w:t>
            </w:r>
          </w:p>
        </w:tc>
      </w:tr>
      <w:tr w:rsidR="00455DEC" w:rsidRPr="00AA0A06" w14:paraId="498EE8D6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26E62" w14:textId="42960827" w:rsidR="00455DEC" w:rsidRPr="00E52CB0" w:rsidRDefault="00455DEC" w:rsidP="00E42A91">
            <w:pPr>
              <w:spacing w:after="0" w:line="240" w:lineRule="auto"/>
            </w:pPr>
            <w:r>
              <w:t>San Juan de Lurigancho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163DE" w14:textId="74DA465F" w:rsidR="00455DEC" w:rsidRPr="00E52CB0" w:rsidRDefault="002E215D" w:rsidP="00E42A91">
            <w:pPr>
              <w:spacing w:after="0" w:line="240" w:lineRule="auto"/>
            </w:pPr>
            <w:r w:rsidRPr="002E215D">
              <w:t>Diana Reaño Vera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11351" w14:textId="235A6466" w:rsidR="00455DEC" w:rsidRPr="00E52CB0" w:rsidRDefault="002E215D" w:rsidP="00E42A91">
            <w:pPr>
              <w:spacing w:after="0" w:line="240" w:lineRule="auto"/>
            </w:pPr>
            <w:r w:rsidRPr="002E215D">
              <w:t>dreano@idat.edu.pe</w:t>
            </w:r>
          </w:p>
        </w:tc>
      </w:tr>
      <w:tr w:rsidR="00E42A91" w:rsidRPr="00AA0A06" w14:paraId="457190BA" w14:textId="77777777" w:rsidTr="00E42A91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F1FE2" w14:textId="700C9F9F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Tomas Valle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6E836" w14:textId="596FE7A7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s-ES"/>
              </w:rPr>
            </w:pPr>
            <w:r w:rsidRPr="00E52CB0">
              <w:t>Estela Estacio Urrea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7388E" w14:textId="461FB0AF" w:rsidR="00E42A91" w:rsidRPr="00AA0A06" w:rsidRDefault="00E42A91" w:rsidP="00E42A91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s-ES"/>
              </w:rPr>
            </w:pPr>
            <w:r w:rsidRPr="00E52CB0">
              <w:t>eestacio@idat.edu.pe</w:t>
            </w:r>
          </w:p>
        </w:tc>
      </w:tr>
    </w:tbl>
    <w:p w14:paraId="1F19AB17" w14:textId="2369DC33" w:rsidR="0072377B" w:rsidRDefault="0072377B" w:rsidP="0072377B">
      <w:pPr>
        <w:spacing w:after="0" w:line="240" w:lineRule="auto"/>
        <w:jc w:val="both"/>
      </w:pPr>
    </w:p>
    <w:p w14:paraId="6D12B926" w14:textId="60360452" w:rsidR="00AC6F83" w:rsidRDefault="00AC6F83" w:rsidP="00DD6617">
      <w:pPr>
        <w:spacing w:line="240" w:lineRule="auto"/>
        <w:jc w:val="both"/>
      </w:pPr>
      <w:r>
        <w:t>NOTA: Los estudiantes que tuvie</w:t>
      </w:r>
      <w:r w:rsidR="00E70E05">
        <w:t>s</w:t>
      </w:r>
      <w:r>
        <w:t xml:space="preserve">en obligaciones pendientes </w:t>
      </w:r>
      <w:r w:rsidRPr="000B2B93">
        <w:rPr>
          <w:b/>
          <w:bCs/>
        </w:rPr>
        <w:t>no podrán formalizar matrícula en el siguiente semestre académico, ni realizar ningún trámite administrativo o servicio complementario.</w:t>
      </w:r>
      <w:r>
        <w:t xml:space="preserve"> </w:t>
      </w:r>
    </w:p>
    <w:p w14:paraId="07C9D808" w14:textId="4AD8BB3B" w:rsidR="00AC6F83" w:rsidRDefault="00AC6F83" w:rsidP="00DD6617">
      <w:pPr>
        <w:spacing w:line="240" w:lineRule="auto"/>
        <w:jc w:val="both"/>
      </w:pPr>
      <w:r>
        <w:t xml:space="preserve">El alumno o responsable de pagos declara haber leído en su totalidad el presente documento y manifiesta tener conocimiento que </w:t>
      </w:r>
      <w:r w:rsidR="002B0269">
        <w:rPr>
          <w:b/>
          <w:bCs/>
        </w:rPr>
        <w:t>IDAT</w:t>
      </w:r>
      <w:r w:rsidR="00CC5141">
        <w:rPr>
          <w:b/>
          <w:bCs/>
        </w:rPr>
        <w:t xml:space="preserve"> </w:t>
      </w:r>
      <w:r>
        <w:t xml:space="preserve">se reserva el derecho de informar a las centrales de riesgo crediticio </w:t>
      </w:r>
      <w:r w:rsidR="00C50B79">
        <w:t xml:space="preserve">por </w:t>
      </w:r>
      <w:r>
        <w:t xml:space="preserve">la falta de pago de cualquier documento vencido (factura, boleta y nota de débito) a las que se encuentra obligado de pagar como alumno o responsable de pagos del servicio correspondiente, aceptando liberar a </w:t>
      </w:r>
      <w:r w:rsidR="002B0269">
        <w:t>IDAT d</w:t>
      </w:r>
      <w:r>
        <w:t xml:space="preserve">e cualquier reclamo. </w:t>
      </w:r>
    </w:p>
    <w:p w14:paraId="216C0B15" w14:textId="10BF36BC" w:rsidR="00AC6F83" w:rsidRDefault="00AC6F83" w:rsidP="00DD6617">
      <w:pPr>
        <w:spacing w:after="0" w:line="240" w:lineRule="auto"/>
        <w:jc w:val="both"/>
      </w:pPr>
      <w:r>
        <w:t xml:space="preserve">Los términos y condiciones tienen vigencia durante la permanencia del alumno en la institución. Todo cambio será comunicado por los medios correspondientes </w:t>
      </w:r>
      <w:r w:rsidRPr="001868C1">
        <w:t>(Correo instituciona</w:t>
      </w:r>
      <w:r w:rsidR="001868C1" w:rsidRPr="001868C1">
        <w:t xml:space="preserve">l, Intranet ZOOM, </w:t>
      </w:r>
      <w:proofErr w:type="spellStart"/>
      <w:r w:rsidR="001868C1" w:rsidRPr="001868C1">
        <w:t>sae</w:t>
      </w:r>
      <w:proofErr w:type="spellEnd"/>
      <w:r w:rsidR="001868C1" w:rsidRPr="001868C1">
        <w:t xml:space="preserve"> en línea</w:t>
      </w:r>
      <w:r w:rsidRPr="001868C1">
        <w:t xml:space="preserve"> y/o reglamento del alumno)</w:t>
      </w:r>
    </w:p>
    <w:p w14:paraId="7D721ED2" w14:textId="77777777" w:rsidR="00DD6617" w:rsidRDefault="00DD6617" w:rsidP="00AC6F83">
      <w:pPr>
        <w:spacing w:after="0" w:line="276" w:lineRule="auto"/>
        <w:jc w:val="right"/>
        <w:rPr>
          <w:b/>
          <w:bCs/>
        </w:rPr>
      </w:pPr>
    </w:p>
    <w:p w14:paraId="79F060AB" w14:textId="6CCE8553" w:rsidR="00AC6F83" w:rsidRPr="00AC6F83" w:rsidRDefault="002B0269" w:rsidP="00AC6F83">
      <w:pPr>
        <w:spacing w:after="0" w:line="276" w:lineRule="auto"/>
        <w:jc w:val="right"/>
        <w:rPr>
          <w:b/>
          <w:bCs/>
        </w:rPr>
      </w:pPr>
      <w:proofErr w:type="spellStart"/>
      <w:r>
        <w:rPr>
          <w:b/>
          <w:bCs/>
        </w:rPr>
        <w:t>Idat</w:t>
      </w:r>
      <w:proofErr w:type="spellEnd"/>
      <w:r w:rsidR="00AC6F83" w:rsidRPr="00AC6F83">
        <w:rPr>
          <w:b/>
          <w:bCs/>
        </w:rPr>
        <w:t xml:space="preserve"> </w:t>
      </w:r>
    </w:p>
    <w:p w14:paraId="34871495" w14:textId="0AA1BD85" w:rsidR="00AC6F83" w:rsidRPr="00AC6F83" w:rsidRDefault="00AC6F83" w:rsidP="00AC6F83">
      <w:pPr>
        <w:spacing w:after="0" w:line="276" w:lineRule="auto"/>
        <w:jc w:val="right"/>
        <w:rPr>
          <w:b/>
          <w:bCs/>
        </w:rPr>
      </w:pPr>
      <w:r w:rsidRPr="00AC6F83">
        <w:rPr>
          <w:b/>
          <w:bCs/>
        </w:rPr>
        <w:t>Área de Cobranzas</w:t>
      </w:r>
    </w:p>
    <w:sectPr w:rsidR="00AC6F83" w:rsidRPr="00AC6F83" w:rsidSect="008709A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F31BB"/>
    <w:multiLevelType w:val="hybridMultilevel"/>
    <w:tmpl w:val="66229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68E7"/>
    <w:multiLevelType w:val="hybridMultilevel"/>
    <w:tmpl w:val="2E0C0120"/>
    <w:lvl w:ilvl="0" w:tplc="26D8B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81340"/>
    <w:multiLevelType w:val="multilevel"/>
    <w:tmpl w:val="23A49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66"/>
    <w:rsid w:val="0002697E"/>
    <w:rsid w:val="000B2B93"/>
    <w:rsid w:val="00133465"/>
    <w:rsid w:val="00165AC1"/>
    <w:rsid w:val="00184D60"/>
    <w:rsid w:val="00185FA8"/>
    <w:rsid w:val="001868C1"/>
    <w:rsid w:val="00222CFD"/>
    <w:rsid w:val="002B0269"/>
    <w:rsid w:val="002E215D"/>
    <w:rsid w:val="003660D5"/>
    <w:rsid w:val="003B15BA"/>
    <w:rsid w:val="003D6DCE"/>
    <w:rsid w:val="00455DEC"/>
    <w:rsid w:val="004A254B"/>
    <w:rsid w:val="004F469C"/>
    <w:rsid w:val="004F73BA"/>
    <w:rsid w:val="005B1112"/>
    <w:rsid w:val="005B2E96"/>
    <w:rsid w:val="00600975"/>
    <w:rsid w:val="00664B82"/>
    <w:rsid w:val="00673589"/>
    <w:rsid w:val="006776B2"/>
    <w:rsid w:val="00701066"/>
    <w:rsid w:val="00702E3A"/>
    <w:rsid w:val="0072377B"/>
    <w:rsid w:val="00737389"/>
    <w:rsid w:val="00753F72"/>
    <w:rsid w:val="007B1976"/>
    <w:rsid w:val="008709A6"/>
    <w:rsid w:val="008E7809"/>
    <w:rsid w:val="0099044F"/>
    <w:rsid w:val="009C10DD"/>
    <w:rsid w:val="00A2097F"/>
    <w:rsid w:val="00A50082"/>
    <w:rsid w:val="00AA0A06"/>
    <w:rsid w:val="00AC57A0"/>
    <w:rsid w:val="00AC6F83"/>
    <w:rsid w:val="00AF2BED"/>
    <w:rsid w:val="00AF4F95"/>
    <w:rsid w:val="00B650F0"/>
    <w:rsid w:val="00C37C96"/>
    <w:rsid w:val="00C50B79"/>
    <w:rsid w:val="00C73711"/>
    <w:rsid w:val="00CC5141"/>
    <w:rsid w:val="00D2258B"/>
    <w:rsid w:val="00D71B85"/>
    <w:rsid w:val="00D743D9"/>
    <w:rsid w:val="00DD1977"/>
    <w:rsid w:val="00DD6617"/>
    <w:rsid w:val="00E42A91"/>
    <w:rsid w:val="00E70E05"/>
    <w:rsid w:val="00EC63B3"/>
    <w:rsid w:val="00FA19DF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A1D8E"/>
  <w15:chartTrackingRefBased/>
  <w15:docId w15:val="{B381E684-56A6-4ACF-BD68-E92BC948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9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6F8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C6F8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904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04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04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04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044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eidat.zendesk.com/hc/es/articles/115000236732-Retiro-del-per%C3%ADodo-lectiv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Lisset Lam Serquen</dc:creator>
  <cp:keywords/>
  <dc:description/>
  <cp:lastModifiedBy>Jimy William Alvarez Llamo</cp:lastModifiedBy>
  <cp:revision>3</cp:revision>
  <cp:lastPrinted>2020-12-03T21:47:00Z</cp:lastPrinted>
  <dcterms:created xsi:type="dcterms:W3CDTF">2022-02-21T15:48:00Z</dcterms:created>
  <dcterms:modified xsi:type="dcterms:W3CDTF">2022-02-21T15:50:00Z</dcterms:modified>
</cp:coreProperties>
</file>