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68876336"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E40ABB" w:rsidRPr="00E40ABB">
                              <w:rPr>
                                <w:rFonts w:ascii="Arial" w:hAnsi="Arial" w:cs="Arial"/>
                                <w:color w:val="FFFFFF" w:themeColor="background1"/>
                              </w:rPr>
                              <w:t>6</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E40ABB" w:rsidRPr="00E40ABB">
                              <w:rPr>
                                <w:rFonts w:ascii="Arial" w:hAnsi="Arial" w:cs="Arial"/>
                                <w:color w:val="FFFFFF" w:themeColor="background1"/>
                              </w:rPr>
                              <w:t>Transacciones con Spring Data JPA</w:t>
                            </w:r>
                            <w:r w:rsidR="00E40ABB">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77777777"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E40ABB">
                              <w:rPr>
                                <w:rFonts w:ascii="Arial" w:hAnsi="Arial" w:cs="Arial"/>
                                <w:color w:val="FFFFFF" w:themeColor="background1"/>
                              </w:rPr>
                              <w:t>6</w:t>
                            </w:r>
                            <w:r w:rsidR="00F514A6" w:rsidRPr="005D64E4">
                              <w:rPr>
                                <w:rFonts w:ascii="Arial" w:hAnsi="Arial" w:cs="Arial"/>
                                <w:color w:val="FFFFFF" w:themeColor="background1"/>
                              </w:rPr>
                              <w:t>:</w:t>
                            </w:r>
                          </w:p>
                          <w:p w14:paraId="0D04FDEF" w14:textId="2069EE56" w:rsidR="00F514A6" w:rsidRPr="00612095" w:rsidRDefault="00E40ABB" w:rsidP="00E40ABB">
                            <w:pPr>
                              <w:jc w:val="both"/>
                              <w:rPr>
                                <w:rFonts w:ascii="Arial" w:hAnsi="Arial" w:cs="Arial"/>
                                <w:color w:val="FFFFFF" w:themeColor="background1"/>
                              </w:rPr>
                            </w:pPr>
                            <w:r w:rsidRPr="00E40ABB">
                              <w:rPr>
                                <w:rFonts w:ascii="Arial" w:hAnsi="Arial" w:cs="Arial"/>
                                <w:color w:val="FFFFFF" w:themeColor="background1"/>
                              </w:rPr>
                              <w:t xml:space="preserve">Gestiona las transacciones con el componente Spring </w:t>
                            </w:r>
                            <w:proofErr w:type="spellStart"/>
                            <w:r w:rsidRPr="00E40ABB">
                              <w:rPr>
                                <w:rFonts w:ascii="Arial" w:hAnsi="Arial" w:cs="Arial"/>
                                <w:color w:val="FFFFFF" w:themeColor="background1"/>
                              </w:rPr>
                              <w:t>Transaction</w:t>
                            </w:r>
                            <w:proofErr w:type="spellEnd"/>
                            <w:r w:rsidRPr="00E40ABB">
                              <w:rPr>
                                <w:rFonts w:ascii="Arial" w:hAnsi="Arial" w:cs="Arial"/>
                                <w:color w:val="FFFFFF" w:themeColor="background1"/>
                              </w:rPr>
                              <w:t xml:space="preserve"> para operaciones de entidades con cabecera y detalle.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68876336"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E40ABB" w:rsidRPr="00E40ABB">
                        <w:rPr>
                          <w:rFonts w:ascii="Arial" w:hAnsi="Arial" w:cs="Arial"/>
                          <w:color w:val="FFFFFF" w:themeColor="background1"/>
                        </w:rPr>
                        <w:t>6</w:t>
                      </w:r>
                      <w:r w:rsidR="00F514A6" w:rsidRPr="00E40ABB">
                        <w:rPr>
                          <w:rFonts w:ascii="Arial" w:hAnsi="Arial" w:cs="Arial"/>
                          <w:color w:val="FFFFFF" w:themeColor="background1"/>
                        </w:rPr>
                        <w:t>:</w:t>
                      </w:r>
                      <w:r w:rsidR="00F514A6" w:rsidRPr="00E40ABB">
                        <w:rPr>
                          <w:rFonts w:ascii="Arial" w:hAnsi="Arial" w:cs="Arial"/>
                          <w:b/>
                          <w:bCs/>
                          <w:color w:val="FFFFFF" w:themeColor="background1"/>
                        </w:rPr>
                        <w:br/>
                      </w:r>
                      <w:r w:rsidR="00E40ABB" w:rsidRPr="00E40ABB">
                        <w:rPr>
                          <w:rFonts w:ascii="Arial" w:hAnsi="Arial" w:cs="Arial"/>
                          <w:color w:val="FFFFFF" w:themeColor="background1"/>
                        </w:rPr>
                        <w:t>Transacciones con Spring Data JPA</w:t>
                      </w:r>
                      <w:r w:rsidR="00E40ABB">
                        <w:rPr>
                          <w:rFonts w:ascii="Arial" w:hAnsi="Arial" w:cs="Arial"/>
                          <w:color w:val="FFFFFF" w:themeColor="background1"/>
                        </w:rPr>
                        <w:t>.</w:t>
                      </w:r>
                    </w:p>
                    <w:p w14:paraId="787A4A95" w14:textId="77777777" w:rsidR="00DB67FB" w:rsidRPr="00E40ABB" w:rsidRDefault="00DB67FB" w:rsidP="00F514A6">
                      <w:pPr>
                        <w:rPr>
                          <w:rFonts w:ascii="Arial" w:hAnsi="Arial" w:cs="Arial"/>
                          <w:b/>
                          <w:bCs/>
                          <w:color w:val="FFFFFF" w:themeColor="background1"/>
                        </w:rPr>
                      </w:pPr>
                    </w:p>
                    <w:p w14:paraId="45887E81" w14:textId="77777777"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E40ABB">
                        <w:rPr>
                          <w:rFonts w:ascii="Arial" w:hAnsi="Arial" w:cs="Arial"/>
                          <w:color w:val="FFFFFF" w:themeColor="background1"/>
                        </w:rPr>
                        <w:t>6</w:t>
                      </w:r>
                      <w:r w:rsidR="00F514A6" w:rsidRPr="005D64E4">
                        <w:rPr>
                          <w:rFonts w:ascii="Arial" w:hAnsi="Arial" w:cs="Arial"/>
                          <w:color w:val="FFFFFF" w:themeColor="background1"/>
                        </w:rPr>
                        <w:t>:</w:t>
                      </w:r>
                    </w:p>
                    <w:p w14:paraId="0D04FDEF" w14:textId="2069EE56" w:rsidR="00F514A6" w:rsidRPr="00612095" w:rsidRDefault="00E40ABB" w:rsidP="00E40ABB">
                      <w:pPr>
                        <w:jc w:val="both"/>
                        <w:rPr>
                          <w:rFonts w:ascii="Arial" w:hAnsi="Arial" w:cs="Arial"/>
                          <w:color w:val="FFFFFF" w:themeColor="background1"/>
                        </w:rPr>
                      </w:pPr>
                      <w:r w:rsidRPr="00E40ABB">
                        <w:rPr>
                          <w:rFonts w:ascii="Arial" w:hAnsi="Arial" w:cs="Arial"/>
                          <w:color w:val="FFFFFF" w:themeColor="background1"/>
                        </w:rPr>
                        <w:t xml:space="preserve">Gestiona las transacciones con el componente Spring </w:t>
                      </w:r>
                      <w:proofErr w:type="spellStart"/>
                      <w:r w:rsidRPr="00E40ABB">
                        <w:rPr>
                          <w:rFonts w:ascii="Arial" w:hAnsi="Arial" w:cs="Arial"/>
                          <w:color w:val="FFFFFF" w:themeColor="background1"/>
                        </w:rPr>
                        <w:t>Transaction</w:t>
                      </w:r>
                      <w:proofErr w:type="spellEnd"/>
                      <w:r w:rsidRPr="00E40ABB">
                        <w:rPr>
                          <w:rFonts w:ascii="Arial" w:hAnsi="Arial" w:cs="Arial"/>
                          <w:color w:val="FFFFFF" w:themeColor="background1"/>
                        </w:rPr>
                        <w:t xml:space="preserve"> para operaciones de entidades con cabecera y detalle.</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73F8126A" w:rsidR="00736AE9" w:rsidRPr="00160CCC" w:rsidRDefault="00EC1AC0" w:rsidP="00736AE9">
      <w:pPr>
        <w:rPr>
          <w:rFonts w:ascii="Arial" w:hAnsi="Arial" w:cs="Arial"/>
          <w:b/>
          <w:bCs/>
          <w:color w:val="6F01EE"/>
        </w:rPr>
      </w:pPr>
      <w:r w:rsidRPr="00160CCC">
        <w:rPr>
          <w:rFonts w:ascii="Arial" w:hAnsi="Arial" w:cs="Arial"/>
          <w:b/>
          <w:bCs/>
          <w:color w:val="6F01EE"/>
        </w:rPr>
        <w:lastRenderedPageBreak/>
        <w:t>TEMA Nº</w:t>
      </w:r>
      <w:r w:rsidR="00E40ABB">
        <w:rPr>
          <w:rFonts w:ascii="Arial" w:hAnsi="Arial" w:cs="Arial"/>
          <w:b/>
          <w:bCs/>
          <w:color w:val="6F01EE"/>
        </w:rPr>
        <w:t>6</w:t>
      </w:r>
      <w:r w:rsidR="00736AE9" w:rsidRPr="00160CCC">
        <w:rPr>
          <w:rFonts w:ascii="Arial" w:hAnsi="Arial" w:cs="Arial"/>
          <w:b/>
          <w:bCs/>
          <w:color w:val="6F01EE"/>
        </w:rPr>
        <w:t>:</w:t>
      </w:r>
    </w:p>
    <w:p w14:paraId="716BDE9D" w14:textId="558457C6" w:rsidR="00293564" w:rsidRPr="00E40ABB" w:rsidRDefault="00E40ABB" w:rsidP="00FA7796">
      <w:pPr>
        <w:tabs>
          <w:tab w:val="left" w:pos="5415"/>
        </w:tabs>
        <w:rPr>
          <w:rFonts w:ascii="Arial" w:hAnsi="Arial" w:cs="Arial"/>
          <w:b/>
          <w:bCs/>
          <w:color w:val="6F01EE"/>
          <w:sz w:val="36"/>
          <w:szCs w:val="36"/>
        </w:rPr>
      </w:pPr>
      <w:r w:rsidRPr="00E40ABB">
        <w:rPr>
          <w:rFonts w:ascii="Arial" w:hAnsi="Arial" w:cs="Arial"/>
          <w:b/>
          <w:bCs/>
          <w:color w:val="6F01EE"/>
          <w:sz w:val="36"/>
          <w:szCs w:val="36"/>
        </w:rPr>
        <w:t>Transacciones con Spring Data JPA</w:t>
      </w:r>
      <w:r>
        <w:rPr>
          <w:rFonts w:ascii="Arial" w:hAnsi="Arial" w:cs="Arial"/>
          <w:b/>
          <w:bCs/>
          <w:color w:val="6F01EE"/>
          <w:sz w:val="36"/>
          <w:szCs w:val="36"/>
        </w:rPr>
        <w:t>.</w:t>
      </w:r>
      <w:r w:rsidR="00FA7796" w:rsidRPr="00E40ABB">
        <w:rPr>
          <w:rFonts w:ascii="Arial" w:hAnsi="Arial" w:cs="Arial"/>
          <w:b/>
          <w:bCs/>
          <w:color w:val="6F01EE"/>
          <w:sz w:val="36"/>
          <w:szCs w:val="36"/>
        </w:rPr>
        <w:tab/>
      </w:r>
    </w:p>
    <w:p w14:paraId="30D9F66D" w14:textId="77777777" w:rsidR="00F50E54" w:rsidRPr="00E40ABB" w:rsidRDefault="00F50E54" w:rsidP="00736AE9">
      <w:pPr>
        <w:rPr>
          <w:rFonts w:ascii="Arial" w:hAnsi="Arial" w:cs="Arial"/>
          <w:color w:val="6F01EE"/>
          <w:sz w:val="28"/>
          <w:szCs w:val="28"/>
        </w:rPr>
      </w:pPr>
    </w:p>
    <w:p w14:paraId="13DBCCED" w14:textId="1375AF3B" w:rsidR="00736AE9" w:rsidRPr="00E40ABB" w:rsidRDefault="0039318C" w:rsidP="00DD7CB3">
      <w:pPr>
        <w:jc w:val="both"/>
        <w:rPr>
          <w:rFonts w:ascii="Arial" w:hAnsi="Arial" w:cs="Arial"/>
          <w:b/>
          <w:bCs/>
          <w:color w:val="6F01EE"/>
        </w:rPr>
      </w:pPr>
      <w:r w:rsidRPr="00E40ABB">
        <w:rPr>
          <w:rFonts w:ascii="Arial" w:hAnsi="Arial" w:cs="Arial"/>
          <w:b/>
          <w:bCs/>
          <w:color w:val="6F01EE"/>
        </w:rPr>
        <w:t xml:space="preserve">Subtema </w:t>
      </w:r>
      <w:r w:rsidR="00E40ABB" w:rsidRPr="00E40ABB">
        <w:rPr>
          <w:rFonts w:ascii="Arial" w:hAnsi="Arial" w:cs="Arial"/>
          <w:b/>
          <w:bCs/>
          <w:color w:val="6F01EE"/>
        </w:rPr>
        <w:t>6</w:t>
      </w:r>
      <w:r w:rsidRPr="00E40ABB">
        <w:rPr>
          <w:rFonts w:ascii="Arial" w:hAnsi="Arial" w:cs="Arial"/>
          <w:b/>
          <w:bCs/>
          <w:color w:val="6F01EE"/>
        </w:rPr>
        <w:t>.1:</w:t>
      </w:r>
    </w:p>
    <w:p w14:paraId="7DCF01AD" w14:textId="2D6E0902" w:rsidR="004A37D5" w:rsidRDefault="00E40ABB" w:rsidP="0039318C">
      <w:pPr>
        <w:jc w:val="both"/>
        <w:rPr>
          <w:rFonts w:ascii="Arial" w:hAnsi="Arial" w:cs="Arial"/>
          <w:b/>
          <w:bCs/>
          <w:color w:val="6F01EE"/>
        </w:rPr>
      </w:pPr>
      <w:r w:rsidRPr="00E40ABB">
        <w:rPr>
          <w:rFonts w:ascii="Arial" w:hAnsi="Arial" w:cs="Arial"/>
          <w:color w:val="6F01EE"/>
          <w:sz w:val="36"/>
          <w:szCs w:val="36"/>
          <w:lang w:eastAsia="es-MX"/>
        </w:rPr>
        <w:t xml:space="preserve">Utilizando el gestor transaccional (JTA) con Spring </w:t>
      </w:r>
      <w:proofErr w:type="spellStart"/>
      <w:r w:rsidRPr="00E40ABB">
        <w:rPr>
          <w:rFonts w:ascii="Arial" w:hAnsi="Arial" w:cs="Arial"/>
          <w:color w:val="6F01EE"/>
          <w:sz w:val="36"/>
          <w:szCs w:val="36"/>
          <w:lang w:eastAsia="es-MX"/>
        </w:rPr>
        <w:t>Transaction</w:t>
      </w:r>
      <w:proofErr w:type="spellEnd"/>
      <w:r w:rsidR="005D64E4" w:rsidRPr="005D64E4">
        <w:rPr>
          <w:rFonts w:ascii="Arial" w:hAnsi="Arial" w:cs="Arial"/>
          <w:color w:val="6F01EE"/>
          <w:sz w:val="36"/>
          <w:szCs w:val="36"/>
          <w:lang w:eastAsia="es-MX"/>
        </w:rPr>
        <w:t>.</w:t>
      </w:r>
    </w:p>
    <w:p w14:paraId="784182A6" w14:textId="77777777" w:rsidR="00391D73" w:rsidRDefault="00391D73" w:rsidP="00391D73">
      <w:pPr>
        <w:rPr>
          <w:rFonts w:ascii="Arial" w:hAnsi="Arial" w:cs="Arial"/>
          <w:b/>
          <w:bCs/>
          <w:noProof/>
          <w:color w:val="6F01EE"/>
          <w:lang w:eastAsia="es-MX"/>
        </w:rPr>
      </w:pPr>
      <w:r w:rsidRPr="00340E0C">
        <w:rPr>
          <w:rFonts w:ascii="Arial" w:hAnsi="Arial" w:cs="Arial"/>
          <w:b/>
          <w:bCs/>
          <w:noProof/>
          <w:color w:val="6F01EE"/>
          <w:lang w:eastAsia="es-MX"/>
        </w:rPr>
        <w:t>Ejemplos:</w:t>
      </w:r>
    </w:p>
    <w:p w14:paraId="7A547AD5" w14:textId="592BF77A" w:rsidR="00C37B4A" w:rsidRDefault="00C37B4A" w:rsidP="0039318C">
      <w:pPr>
        <w:jc w:val="both"/>
        <w:rPr>
          <w:rFonts w:ascii="Arial" w:hAnsi="Arial" w:cs="Arial"/>
        </w:rPr>
      </w:pPr>
    </w:p>
    <w:p w14:paraId="47CCA079" w14:textId="77777777" w:rsidR="00394849" w:rsidRPr="00394849" w:rsidRDefault="00394849" w:rsidP="00394849">
      <w:pPr>
        <w:jc w:val="both"/>
        <w:rPr>
          <w:rFonts w:ascii="Arial" w:hAnsi="Arial" w:cs="Arial"/>
        </w:rPr>
      </w:pPr>
      <w:r w:rsidRPr="00394849">
        <w:rPr>
          <w:rFonts w:ascii="Arial" w:hAnsi="Arial" w:cs="Arial"/>
        </w:rPr>
        <w:t>Una de las razones más convincentes para utilizar el marco Spring es el apoyo de transacción global. El marco de Spring proporciona una abstracción coherente para la gestión de transacciones que ofrece los siguientes beneficios:</w:t>
      </w:r>
    </w:p>
    <w:p w14:paraId="10350A6A" w14:textId="77777777" w:rsidR="00394849" w:rsidRPr="00394849" w:rsidRDefault="00394849" w:rsidP="00394849">
      <w:pPr>
        <w:jc w:val="both"/>
        <w:rPr>
          <w:rFonts w:ascii="Arial" w:hAnsi="Arial" w:cs="Arial"/>
        </w:rPr>
      </w:pPr>
    </w:p>
    <w:p w14:paraId="5DDD50C9" w14:textId="0EFD68F2" w:rsidR="00394849" w:rsidRPr="00394849" w:rsidRDefault="00394849" w:rsidP="00394849">
      <w:pPr>
        <w:pStyle w:val="Prrafodelista"/>
        <w:numPr>
          <w:ilvl w:val="0"/>
          <w:numId w:val="22"/>
        </w:numPr>
        <w:jc w:val="both"/>
        <w:rPr>
          <w:rFonts w:ascii="Arial" w:hAnsi="Arial" w:cs="Arial"/>
        </w:rPr>
      </w:pPr>
      <w:r w:rsidRPr="00394849">
        <w:rPr>
          <w:rFonts w:ascii="Arial" w:hAnsi="Arial" w:cs="Arial"/>
        </w:rPr>
        <w:t xml:space="preserve">Proporciona un modelo de programación consistente a través de las API de transacciones diferentes, tales como JTA, JDBC, </w:t>
      </w:r>
      <w:proofErr w:type="spellStart"/>
      <w:r w:rsidRPr="00394849">
        <w:rPr>
          <w:rFonts w:ascii="Arial" w:hAnsi="Arial" w:cs="Arial"/>
        </w:rPr>
        <w:t>Hibernate</w:t>
      </w:r>
      <w:proofErr w:type="spellEnd"/>
      <w:r w:rsidRPr="00394849">
        <w:rPr>
          <w:rFonts w:ascii="Arial" w:hAnsi="Arial" w:cs="Arial"/>
        </w:rPr>
        <w:t>, JPA, y JDO.</w:t>
      </w:r>
    </w:p>
    <w:p w14:paraId="0E71056A" w14:textId="01664335" w:rsidR="00394849" w:rsidRPr="00394849" w:rsidRDefault="00394849" w:rsidP="00394849">
      <w:pPr>
        <w:pStyle w:val="Prrafodelista"/>
        <w:numPr>
          <w:ilvl w:val="0"/>
          <w:numId w:val="22"/>
        </w:numPr>
        <w:jc w:val="both"/>
        <w:rPr>
          <w:rFonts w:ascii="Arial" w:hAnsi="Arial" w:cs="Arial"/>
        </w:rPr>
      </w:pPr>
      <w:r w:rsidRPr="00394849">
        <w:rPr>
          <w:rFonts w:ascii="Arial" w:hAnsi="Arial" w:cs="Arial"/>
        </w:rPr>
        <w:t>Apoya la gestión de transacciones declarativa.</w:t>
      </w:r>
    </w:p>
    <w:p w14:paraId="20E9778C" w14:textId="06D438C3" w:rsidR="00394849" w:rsidRPr="00394849" w:rsidRDefault="00394849" w:rsidP="00394849">
      <w:pPr>
        <w:pStyle w:val="Prrafodelista"/>
        <w:numPr>
          <w:ilvl w:val="0"/>
          <w:numId w:val="22"/>
        </w:numPr>
        <w:jc w:val="both"/>
        <w:rPr>
          <w:rFonts w:ascii="Arial" w:hAnsi="Arial" w:cs="Arial"/>
        </w:rPr>
      </w:pPr>
      <w:r w:rsidRPr="00394849">
        <w:rPr>
          <w:rFonts w:ascii="Arial" w:hAnsi="Arial" w:cs="Arial"/>
        </w:rPr>
        <w:t>Proporciona una sencilla API para la gestión de transacciones programática de una serie de API de transacciones complejas tales como JTA.</w:t>
      </w:r>
    </w:p>
    <w:p w14:paraId="379BE6A3" w14:textId="488A1D21" w:rsidR="00394849" w:rsidRPr="00394849" w:rsidRDefault="00394849" w:rsidP="00394849">
      <w:pPr>
        <w:pStyle w:val="Prrafodelista"/>
        <w:numPr>
          <w:ilvl w:val="0"/>
          <w:numId w:val="22"/>
        </w:numPr>
        <w:jc w:val="both"/>
        <w:rPr>
          <w:rFonts w:ascii="Arial" w:hAnsi="Arial" w:cs="Arial"/>
        </w:rPr>
      </w:pPr>
      <w:r w:rsidRPr="00394849">
        <w:rPr>
          <w:rFonts w:ascii="Arial" w:hAnsi="Arial" w:cs="Arial"/>
        </w:rPr>
        <w:t>Se integra muy bien con las abstracciones de acceso a datos.</w:t>
      </w:r>
    </w:p>
    <w:p w14:paraId="72EBDE91" w14:textId="77777777" w:rsidR="00394849" w:rsidRPr="00394849" w:rsidRDefault="00394849" w:rsidP="00394849">
      <w:pPr>
        <w:jc w:val="both"/>
        <w:rPr>
          <w:rFonts w:ascii="Arial" w:hAnsi="Arial" w:cs="Arial"/>
        </w:rPr>
      </w:pPr>
    </w:p>
    <w:p w14:paraId="5DC65B55" w14:textId="779257B7" w:rsidR="00394849" w:rsidRDefault="00394849" w:rsidP="00394849">
      <w:pPr>
        <w:jc w:val="both"/>
        <w:rPr>
          <w:rFonts w:ascii="Arial" w:hAnsi="Arial" w:cs="Arial"/>
        </w:rPr>
      </w:pPr>
      <w:r w:rsidRPr="00394849">
        <w:rPr>
          <w:rFonts w:ascii="Arial" w:hAnsi="Arial" w:cs="Arial"/>
        </w:rPr>
        <w:t>Tradicionalmente, los desarrolladores de J2EE han tenido dos opciones para la gestión de transacciones: las transacciones globales o locales. Las transacciones globales son gestionadas por el servidor de aplicaciones, utilizando el API de transacciones Java (JTA). Las transacciones locales son recursos específicos: el ejemplo más común sería una transacción asociada con una conexión JDBC. Esta elección tiene profundas implicaciones. Por ejemplo, las transacciones globales proporcionan la capacidad de trabajar con múltiples recursos transaccionales (bases de datos relacionales y, normalmente, las colas de mensajes). Con las transacciones locales, el servidor de aplicaciones no está involucrado en la gestión de transacciones y no puede ayudar a asegurar la corrección a través de múltiples recursos.</w:t>
      </w:r>
    </w:p>
    <w:p w14:paraId="443C0F2D" w14:textId="77777777" w:rsidR="00394849" w:rsidRPr="00394849" w:rsidRDefault="00394849" w:rsidP="00394849">
      <w:pPr>
        <w:jc w:val="both"/>
        <w:rPr>
          <w:rFonts w:ascii="Arial" w:hAnsi="Arial" w:cs="Arial"/>
        </w:rPr>
      </w:pPr>
    </w:p>
    <w:p w14:paraId="1DAAB30F" w14:textId="77777777" w:rsidR="00394849" w:rsidRPr="00394849" w:rsidRDefault="00394849" w:rsidP="00394849">
      <w:pPr>
        <w:jc w:val="both"/>
        <w:rPr>
          <w:rFonts w:ascii="Arial" w:hAnsi="Arial" w:cs="Arial"/>
          <w:b/>
          <w:bCs/>
        </w:rPr>
      </w:pPr>
      <w:r w:rsidRPr="00394849">
        <w:rPr>
          <w:rFonts w:ascii="Arial" w:hAnsi="Arial" w:cs="Arial"/>
          <w:b/>
          <w:bCs/>
        </w:rPr>
        <w:t>Transacciones globales</w:t>
      </w:r>
    </w:p>
    <w:p w14:paraId="38A3FE7F" w14:textId="77777777" w:rsidR="00394849" w:rsidRPr="00394849" w:rsidRDefault="00394849" w:rsidP="00394849">
      <w:pPr>
        <w:jc w:val="both"/>
        <w:rPr>
          <w:rFonts w:ascii="Arial" w:hAnsi="Arial" w:cs="Arial"/>
        </w:rPr>
      </w:pPr>
    </w:p>
    <w:p w14:paraId="066722E2" w14:textId="77777777" w:rsidR="00394849" w:rsidRPr="00394849" w:rsidRDefault="00394849" w:rsidP="00394849">
      <w:pPr>
        <w:jc w:val="both"/>
        <w:rPr>
          <w:rFonts w:ascii="Arial" w:hAnsi="Arial" w:cs="Arial"/>
        </w:rPr>
      </w:pPr>
      <w:r w:rsidRPr="00394849">
        <w:rPr>
          <w:rFonts w:ascii="Arial" w:hAnsi="Arial" w:cs="Arial"/>
        </w:rPr>
        <w:t xml:space="preserve">Las transacciones globales tienen una desventaja importante, en ese código tiene que usar JTA, y JTA es una API difícil de utilizar (en parte debido a su modelo de excepción). Además, un </w:t>
      </w:r>
      <w:proofErr w:type="spellStart"/>
      <w:r w:rsidRPr="00394849">
        <w:rPr>
          <w:rFonts w:ascii="Arial" w:hAnsi="Arial" w:cs="Arial"/>
        </w:rPr>
        <w:t>UserTransaction</w:t>
      </w:r>
      <w:proofErr w:type="spellEnd"/>
      <w:r w:rsidRPr="00394849">
        <w:rPr>
          <w:rFonts w:ascii="Arial" w:hAnsi="Arial" w:cs="Arial"/>
        </w:rPr>
        <w:t xml:space="preserve"> JTA normalmente tiene que proceder de JNDI. Por lo tanto, tenemos que utilizar tanto JNDI como JTA. Obviamente, todo uso de las transacciones globales limita la reutilización de código de la aplicación, ya que JTA normalmente sólo está disponible en un entorno de servidor de aplicaciones. Anteriormente, la mejor forma de utilizar las transacciones globales fue a través de EJB CMT (transacción administrada por contenedor).</w:t>
      </w:r>
    </w:p>
    <w:p w14:paraId="3DB1FC49" w14:textId="77777777" w:rsidR="00394849" w:rsidRPr="00394849" w:rsidRDefault="00394849" w:rsidP="00394849">
      <w:pPr>
        <w:jc w:val="both"/>
        <w:rPr>
          <w:rFonts w:ascii="Arial" w:hAnsi="Arial" w:cs="Arial"/>
        </w:rPr>
      </w:pPr>
    </w:p>
    <w:p w14:paraId="70286198" w14:textId="4F1F0963" w:rsidR="00394849" w:rsidRDefault="00394849" w:rsidP="00394849">
      <w:pPr>
        <w:jc w:val="both"/>
        <w:rPr>
          <w:rFonts w:ascii="Arial" w:hAnsi="Arial" w:cs="Arial"/>
        </w:rPr>
      </w:pPr>
      <w:r w:rsidRPr="00394849">
        <w:rPr>
          <w:rFonts w:ascii="Arial" w:hAnsi="Arial" w:cs="Arial"/>
        </w:rPr>
        <w:t xml:space="preserve">CMT es una forma de gestión de transacciones declarativa (a diferencia de la gestión de transacciones programática). EJB CMT elimina la necesidad de transacción relacionados con búsquedas </w:t>
      </w:r>
      <w:proofErr w:type="gramStart"/>
      <w:r w:rsidRPr="00394849">
        <w:rPr>
          <w:rFonts w:ascii="Arial" w:hAnsi="Arial" w:cs="Arial"/>
        </w:rPr>
        <w:t>JNDI</w:t>
      </w:r>
      <w:proofErr w:type="gramEnd"/>
      <w:r w:rsidRPr="00394849">
        <w:rPr>
          <w:rFonts w:ascii="Arial" w:hAnsi="Arial" w:cs="Arial"/>
        </w:rPr>
        <w:t xml:space="preserve"> aunque, por supuesto, el uso de EJB requiere el uso de JNDI. Se elimina la mayor parte de la necesidad (aunque no del todo) de escribir código Java para el control de las transacciones. El inconveniente importante es que la CMT está ligada a JTA </w:t>
      </w:r>
      <w:r w:rsidRPr="00394849">
        <w:rPr>
          <w:rFonts w:ascii="Arial" w:hAnsi="Arial" w:cs="Arial"/>
        </w:rPr>
        <w:lastRenderedPageBreak/>
        <w:t>y un entorno de servidor de aplicaciones. Además, sólo está disponible si se opta por aplicar la lógica de negocio en EJB, o al menos detrás de una fachada de EJB transaccional. Lo negativo en relación con EJB es que, en general, no se trata de una propuesta atractiva, especialmente en la cara de las alternativas de peso para la gestión de transacciones declarativa.</w:t>
      </w:r>
    </w:p>
    <w:p w14:paraId="74B80536" w14:textId="77777777" w:rsidR="00394849" w:rsidRPr="00394849" w:rsidRDefault="00394849" w:rsidP="00394849">
      <w:pPr>
        <w:jc w:val="both"/>
        <w:rPr>
          <w:rFonts w:ascii="Arial" w:hAnsi="Arial" w:cs="Arial"/>
        </w:rPr>
      </w:pPr>
    </w:p>
    <w:p w14:paraId="583505B2" w14:textId="77777777" w:rsidR="00394849" w:rsidRPr="00394849" w:rsidRDefault="00394849" w:rsidP="00394849">
      <w:pPr>
        <w:jc w:val="both"/>
        <w:rPr>
          <w:rFonts w:ascii="Arial" w:hAnsi="Arial" w:cs="Arial"/>
          <w:b/>
          <w:bCs/>
        </w:rPr>
      </w:pPr>
      <w:r w:rsidRPr="00394849">
        <w:rPr>
          <w:rFonts w:ascii="Arial" w:hAnsi="Arial" w:cs="Arial"/>
          <w:b/>
          <w:bCs/>
        </w:rPr>
        <w:t>Transacciones locales</w:t>
      </w:r>
    </w:p>
    <w:p w14:paraId="052852B6" w14:textId="77777777" w:rsidR="00394849" w:rsidRPr="00394849" w:rsidRDefault="00394849" w:rsidP="00394849">
      <w:pPr>
        <w:jc w:val="both"/>
        <w:rPr>
          <w:rFonts w:ascii="Arial" w:hAnsi="Arial" w:cs="Arial"/>
        </w:rPr>
      </w:pPr>
    </w:p>
    <w:p w14:paraId="76F9C9CF" w14:textId="77777777" w:rsidR="00394849" w:rsidRPr="00394849" w:rsidRDefault="00394849" w:rsidP="00394849">
      <w:pPr>
        <w:jc w:val="both"/>
        <w:rPr>
          <w:rFonts w:ascii="Arial" w:hAnsi="Arial" w:cs="Arial"/>
        </w:rPr>
      </w:pPr>
      <w:r w:rsidRPr="00394849">
        <w:rPr>
          <w:rFonts w:ascii="Arial" w:hAnsi="Arial" w:cs="Arial"/>
        </w:rPr>
        <w:t>Las transacciones locales pueden ser más fáciles de usar, pero tiene desventajas importantes: no pueden trabajar a través de múltiples recursos transaccionales. Por ejemplo, el código que gestiona las transacciones utilizando una conexión de JDBC no se puede ejecutar en una transacción JTA global. Otra desventaja es que las transacciones locales tienden a ser invasoras en el modelo de programación.</w:t>
      </w:r>
    </w:p>
    <w:p w14:paraId="67C00528" w14:textId="77777777" w:rsidR="00394849" w:rsidRPr="00394849" w:rsidRDefault="00394849" w:rsidP="00394849">
      <w:pPr>
        <w:jc w:val="both"/>
        <w:rPr>
          <w:rFonts w:ascii="Arial" w:hAnsi="Arial" w:cs="Arial"/>
        </w:rPr>
      </w:pPr>
    </w:p>
    <w:p w14:paraId="4C92AC38" w14:textId="77777777" w:rsidR="00394849" w:rsidRPr="00394849" w:rsidRDefault="00394849" w:rsidP="00394849">
      <w:pPr>
        <w:jc w:val="both"/>
        <w:rPr>
          <w:rFonts w:ascii="Arial" w:hAnsi="Arial" w:cs="Arial"/>
        </w:rPr>
      </w:pPr>
      <w:r w:rsidRPr="00394849">
        <w:rPr>
          <w:rFonts w:ascii="Arial" w:hAnsi="Arial" w:cs="Arial"/>
        </w:rPr>
        <w:t>Spring resuelve estos problemas. Permite a los desarrolladores de aplicaciones para utilizar un modelo de programación coherente en cualquier entorno. Debe escribir el código una vez, y pueden beneficiarse de diferentes estrategias de manejo de transacciones en diferentes entornos. El marco de Spring proporciona la gestión de transacciones declarativas y programáticas. La gestión de transacciones declarativa es la preferida por la mayoría de los usuarios y se recomienda en la mayoría de los casos.</w:t>
      </w:r>
    </w:p>
    <w:p w14:paraId="31E5AE45" w14:textId="77777777" w:rsidR="00394849" w:rsidRPr="00394849" w:rsidRDefault="00394849" w:rsidP="00394849">
      <w:pPr>
        <w:jc w:val="both"/>
        <w:rPr>
          <w:rFonts w:ascii="Arial" w:hAnsi="Arial" w:cs="Arial"/>
        </w:rPr>
      </w:pPr>
    </w:p>
    <w:p w14:paraId="06C1E5EE" w14:textId="535B634F" w:rsidR="00394849" w:rsidRPr="006D5F9F" w:rsidRDefault="00394849" w:rsidP="00394849">
      <w:pPr>
        <w:jc w:val="both"/>
        <w:rPr>
          <w:rFonts w:ascii="Arial" w:hAnsi="Arial" w:cs="Arial"/>
        </w:rPr>
      </w:pPr>
      <w:r w:rsidRPr="00394849">
        <w:rPr>
          <w:rFonts w:ascii="Arial" w:hAnsi="Arial" w:cs="Arial"/>
        </w:rPr>
        <w:t>Con la gestión de transacciones programática, los desarrolladores trabajan con la abstracción de la transacción Spring Framework, que puede correr sobre cualquier infraestructura de operación subyacente. Con el modelo de declaración preferido, los desarrolladores suelen escribir poco o ningún código relacionado con la gestión de transacciones y, por lo tanto, no dependen de la transacción de Spring Framework.</w:t>
      </w:r>
    </w:p>
    <w:p w14:paraId="3B82E165" w14:textId="4BEE6EBF" w:rsidR="006D5F9F" w:rsidRDefault="006D5F9F">
      <w:pPr>
        <w:spacing w:after="160" w:line="259" w:lineRule="auto"/>
        <w:rPr>
          <w:rFonts w:ascii="Arial" w:hAnsi="Arial" w:cs="Arial"/>
          <w:b/>
          <w:bCs/>
          <w:color w:val="6F01EE"/>
        </w:rPr>
      </w:pPr>
    </w:p>
    <w:p w14:paraId="151B6FE7" w14:textId="5DA3325C" w:rsidR="00394849" w:rsidRDefault="00394849" w:rsidP="00394849">
      <w:pPr>
        <w:spacing w:after="160" w:line="259" w:lineRule="auto"/>
        <w:jc w:val="center"/>
        <w:rPr>
          <w:rFonts w:ascii="Arial" w:hAnsi="Arial" w:cs="Arial"/>
          <w:b/>
          <w:bCs/>
          <w:color w:val="6F01EE"/>
        </w:rPr>
      </w:pPr>
      <w:r>
        <w:rPr>
          <w:noProof/>
        </w:rPr>
        <w:drawing>
          <wp:inline distT="0" distB="0" distL="0" distR="0" wp14:anchorId="66987BD2" wp14:editId="02D3180F">
            <wp:extent cx="2257425" cy="1028700"/>
            <wp:effectExtent l="0" t="0" r="9525" b="0"/>
            <wp:docPr id="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con confianza media"/>
                    <pic:cNvPicPr/>
                  </pic:nvPicPr>
                  <pic:blipFill>
                    <a:blip r:embed="rId9"/>
                    <a:stretch>
                      <a:fillRect/>
                    </a:stretch>
                  </pic:blipFill>
                  <pic:spPr>
                    <a:xfrm>
                      <a:off x="0" y="0"/>
                      <a:ext cx="2257425" cy="1028700"/>
                    </a:xfrm>
                    <a:prstGeom prst="rect">
                      <a:avLst/>
                    </a:prstGeom>
                  </pic:spPr>
                </pic:pic>
              </a:graphicData>
            </a:graphic>
          </wp:inline>
        </w:drawing>
      </w:r>
    </w:p>
    <w:p w14:paraId="58CFD1FB" w14:textId="77777777" w:rsidR="00394849" w:rsidRDefault="00394849">
      <w:pPr>
        <w:spacing w:after="160" w:line="259" w:lineRule="auto"/>
        <w:rPr>
          <w:rFonts w:ascii="Arial" w:hAnsi="Arial" w:cs="Arial"/>
          <w:b/>
          <w:bCs/>
          <w:color w:val="6F01EE"/>
        </w:rPr>
      </w:pPr>
      <w:r>
        <w:rPr>
          <w:rFonts w:ascii="Arial" w:hAnsi="Arial" w:cs="Arial"/>
          <w:b/>
          <w:bCs/>
          <w:color w:val="6F01EE"/>
        </w:rPr>
        <w:br w:type="page"/>
      </w:r>
    </w:p>
    <w:p w14:paraId="35702538" w14:textId="4C5EB43D" w:rsidR="004A37D5" w:rsidRPr="00745DF3" w:rsidRDefault="004A37D5" w:rsidP="004A37D5">
      <w:pPr>
        <w:jc w:val="both"/>
        <w:rPr>
          <w:rFonts w:ascii="Arial" w:hAnsi="Arial" w:cs="Arial"/>
          <w:b/>
          <w:bCs/>
          <w:color w:val="6F01EE"/>
        </w:rPr>
      </w:pPr>
      <w:r w:rsidRPr="00745DF3">
        <w:rPr>
          <w:rFonts w:ascii="Arial" w:hAnsi="Arial" w:cs="Arial"/>
          <w:b/>
          <w:bCs/>
          <w:color w:val="6F01EE"/>
        </w:rPr>
        <w:lastRenderedPageBreak/>
        <w:t xml:space="preserve">Subtema </w:t>
      </w:r>
      <w:r w:rsidR="00E40ABB">
        <w:rPr>
          <w:rFonts w:ascii="Arial" w:hAnsi="Arial" w:cs="Arial"/>
          <w:b/>
          <w:bCs/>
          <w:color w:val="6F01EE"/>
        </w:rPr>
        <w:t>6</w:t>
      </w:r>
      <w:r w:rsidRPr="00745DF3">
        <w:rPr>
          <w:rFonts w:ascii="Arial" w:hAnsi="Arial" w:cs="Arial"/>
          <w:b/>
          <w:bCs/>
          <w:color w:val="6F01EE"/>
        </w:rPr>
        <w:t>.2:</w:t>
      </w:r>
    </w:p>
    <w:p w14:paraId="2A50A080" w14:textId="58EBCFE3" w:rsidR="004A37D5" w:rsidRDefault="00E40ABB" w:rsidP="004A37D5">
      <w:pPr>
        <w:rPr>
          <w:rFonts w:ascii="Stag Book" w:hAnsi="Stag Book" w:cs="Arial"/>
          <w:color w:val="6F01EE"/>
          <w:sz w:val="36"/>
          <w:szCs w:val="36"/>
          <w:lang w:eastAsia="es-MX"/>
        </w:rPr>
      </w:pPr>
      <w:r w:rsidRPr="00E40ABB">
        <w:rPr>
          <w:rFonts w:ascii="Arial" w:hAnsi="Arial" w:cs="Arial"/>
          <w:color w:val="6F01EE"/>
          <w:sz w:val="36"/>
          <w:szCs w:val="36"/>
          <w:lang w:eastAsia="es-MX"/>
        </w:rPr>
        <w:t xml:space="preserve">Comprender las funciones básicas de Spring </w:t>
      </w:r>
      <w:proofErr w:type="spellStart"/>
      <w:r w:rsidRPr="00E40ABB">
        <w:rPr>
          <w:rFonts w:ascii="Arial" w:hAnsi="Arial" w:cs="Arial"/>
          <w:color w:val="6F01EE"/>
          <w:sz w:val="36"/>
          <w:szCs w:val="36"/>
          <w:lang w:eastAsia="es-MX"/>
        </w:rPr>
        <w:t>Transaction</w:t>
      </w:r>
      <w:proofErr w:type="spellEnd"/>
      <w:r w:rsidR="004A37D5" w:rsidRPr="005D64E4">
        <w:rPr>
          <w:rFonts w:ascii="Arial" w:hAnsi="Arial" w:cs="Arial"/>
          <w:color w:val="6F01EE"/>
          <w:sz w:val="36"/>
          <w:szCs w:val="36"/>
          <w:lang w:eastAsia="es-MX"/>
        </w:rPr>
        <w:t>.</w:t>
      </w:r>
    </w:p>
    <w:p w14:paraId="722A0917" w14:textId="77777777" w:rsidR="004A37D5" w:rsidRDefault="004A37D5" w:rsidP="004A37D5">
      <w:pPr>
        <w:rPr>
          <w:rFonts w:ascii="Arial" w:hAnsi="Arial" w:cs="Arial"/>
          <w:b/>
          <w:bCs/>
          <w:noProof/>
          <w:color w:val="6F01EE"/>
          <w:lang w:eastAsia="es-MX"/>
        </w:rPr>
      </w:pPr>
      <w:r w:rsidRPr="00340E0C">
        <w:rPr>
          <w:rFonts w:ascii="Arial" w:hAnsi="Arial" w:cs="Arial"/>
          <w:b/>
          <w:bCs/>
          <w:noProof/>
          <w:color w:val="6F01EE"/>
          <w:lang w:eastAsia="es-MX"/>
        </w:rPr>
        <w:t>Ejemplos:</w:t>
      </w:r>
    </w:p>
    <w:p w14:paraId="1A54FE82" w14:textId="784C74F2" w:rsidR="004A37D5" w:rsidRDefault="004A37D5" w:rsidP="0039318C">
      <w:pPr>
        <w:jc w:val="both"/>
        <w:rPr>
          <w:rFonts w:ascii="Arial" w:hAnsi="Arial" w:cs="Arial"/>
          <w:b/>
          <w:bCs/>
          <w:color w:val="6F01EE"/>
        </w:rPr>
      </w:pPr>
    </w:p>
    <w:p w14:paraId="2CC1AADD" w14:textId="0C886A08" w:rsidR="006F45D2" w:rsidRPr="006F45D2" w:rsidRDefault="006F45D2" w:rsidP="006F45D2">
      <w:pPr>
        <w:pStyle w:val="Prrafodelista"/>
        <w:numPr>
          <w:ilvl w:val="0"/>
          <w:numId w:val="23"/>
        </w:numPr>
        <w:jc w:val="both"/>
        <w:rPr>
          <w:rFonts w:ascii="Arial" w:hAnsi="Arial" w:cs="Arial"/>
        </w:rPr>
      </w:pPr>
      <w:r w:rsidRPr="006F45D2">
        <w:rPr>
          <w:rFonts w:ascii="Arial" w:hAnsi="Arial" w:cs="Arial"/>
        </w:rPr>
        <w:t>Aislamiento: el grado de aislamiento de esta transacción sobre otras transacciones. Por ejemplo, ¿esta transacción puede verse comprometida por la escritura de otras transacciones?</w:t>
      </w:r>
    </w:p>
    <w:p w14:paraId="1CC4B542" w14:textId="0CBEEF1F" w:rsidR="006F45D2" w:rsidRPr="006F45D2" w:rsidRDefault="006F45D2" w:rsidP="006F45D2">
      <w:pPr>
        <w:pStyle w:val="Prrafodelista"/>
        <w:numPr>
          <w:ilvl w:val="0"/>
          <w:numId w:val="23"/>
        </w:numPr>
        <w:jc w:val="both"/>
        <w:rPr>
          <w:rFonts w:ascii="Arial" w:hAnsi="Arial" w:cs="Arial"/>
        </w:rPr>
      </w:pPr>
      <w:r w:rsidRPr="006F45D2">
        <w:rPr>
          <w:rFonts w:ascii="Arial" w:hAnsi="Arial" w:cs="Arial"/>
        </w:rPr>
        <w:t>Propagación: en general, todo código que se ejecuta dentro de un ámbito de transacción se ejecutará en esa transacción. Sin embargo, hay varias opciones que especifican el comportamiento si se ejecuta un método de transacción cuando el contexto de la transacción ya existe: por ejemplo, sólo tiene que seguir corriendo en la operación existente (el caso más común), o la suspensión de la operación existente y la creación de una nueva transacción. Spring ofrece todas las opciones de transacción de propagación familiares de EJB CMT.</w:t>
      </w:r>
    </w:p>
    <w:p w14:paraId="416A57B4" w14:textId="098D2FCF" w:rsidR="006F45D2" w:rsidRPr="006F45D2" w:rsidRDefault="006F45D2" w:rsidP="006F45D2">
      <w:pPr>
        <w:pStyle w:val="Prrafodelista"/>
        <w:numPr>
          <w:ilvl w:val="0"/>
          <w:numId w:val="23"/>
        </w:numPr>
        <w:jc w:val="both"/>
        <w:rPr>
          <w:rFonts w:ascii="Arial" w:hAnsi="Arial" w:cs="Arial"/>
        </w:rPr>
      </w:pPr>
      <w:r w:rsidRPr="006F45D2">
        <w:rPr>
          <w:rFonts w:ascii="Arial" w:hAnsi="Arial" w:cs="Arial"/>
        </w:rPr>
        <w:t>Tiempo de espera: ¿cuánto tiempo tiene la transacción para ejecutarse antes del tiempo de espera (y automáticamente se deshace de la infraestructura de transacción subyacente).</w:t>
      </w:r>
    </w:p>
    <w:p w14:paraId="2D6EF239" w14:textId="14C207D2" w:rsidR="006F45D2" w:rsidRDefault="006F45D2" w:rsidP="00071F35">
      <w:pPr>
        <w:pStyle w:val="Prrafodelista"/>
        <w:numPr>
          <w:ilvl w:val="0"/>
          <w:numId w:val="23"/>
        </w:numPr>
        <w:jc w:val="both"/>
        <w:rPr>
          <w:rFonts w:ascii="Arial" w:hAnsi="Arial" w:cs="Arial"/>
        </w:rPr>
      </w:pPr>
      <w:r w:rsidRPr="006F45D2">
        <w:rPr>
          <w:rFonts w:ascii="Arial" w:hAnsi="Arial" w:cs="Arial"/>
        </w:rPr>
        <w:t xml:space="preserve">Estado de sólo lectura: una transacción de lectura única no puede modificar ningún dato. Las transacciones de sólo lectura pueden ser una optimización de utilidad en algunos casos (como cuando se utiliza </w:t>
      </w:r>
      <w:proofErr w:type="spellStart"/>
      <w:r w:rsidRPr="006F45D2">
        <w:rPr>
          <w:rFonts w:ascii="Arial" w:hAnsi="Arial" w:cs="Arial"/>
        </w:rPr>
        <w:t>Hibernate</w:t>
      </w:r>
      <w:proofErr w:type="spellEnd"/>
      <w:r w:rsidRPr="006F45D2">
        <w:rPr>
          <w:rFonts w:ascii="Arial" w:hAnsi="Arial" w:cs="Arial"/>
        </w:rPr>
        <w:t>).</w:t>
      </w:r>
    </w:p>
    <w:p w14:paraId="72B2BA95" w14:textId="353BB7BD" w:rsidR="00071F35" w:rsidRDefault="00071F35" w:rsidP="00071F35">
      <w:pPr>
        <w:jc w:val="both"/>
        <w:rPr>
          <w:rFonts w:ascii="Arial" w:hAnsi="Arial" w:cs="Arial"/>
        </w:rPr>
      </w:pPr>
    </w:p>
    <w:p w14:paraId="4F0495E4" w14:textId="6499DBF5" w:rsidR="00071F35" w:rsidRPr="00071F35" w:rsidRDefault="00071F35" w:rsidP="00071F35">
      <w:pPr>
        <w:jc w:val="both"/>
        <w:rPr>
          <w:rFonts w:ascii="Arial" w:hAnsi="Arial" w:cs="Arial"/>
          <w:b/>
          <w:bCs/>
        </w:rPr>
      </w:pPr>
      <w:proofErr w:type="spellStart"/>
      <w:r w:rsidRPr="00071F35">
        <w:rPr>
          <w:rFonts w:ascii="Arial" w:hAnsi="Arial" w:cs="Arial"/>
          <w:b/>
          <w:bCs/>
        </w:rPr>
        <w:t>Transaction</w:t>
      </w:r>
      <w:proofErr w:type="spellEnd"/>
      <w:r w:rsidRPr="00071F35">
        <w:rPr>
          <w:rFonts w:ascii="Arial" w:hAnsi="Arial" w:cs="Arial"/>
          <w:b/>
          <w:bCs/>
        </w:rPr>
        <w:t xml:space="preserve"> </w:t>
      </w:r>
      <w:proofErr w:type="spellStart"/>
      <w:r w:rsidRPr="00071F35">
        <w:rPr>
          <w:rFonts w:ascii="Arial" w:hAnsi="Arial" w:cs="Arial"/>
          <w:b/>
          <w:bCs/>
        </w:rPr>
        <w:t>Propagation</w:t>
      </w:r>
      <w:proofErr w:type="spellEnd"/>
    </w:p>
    <w:p w14:paraId="6B855D77" w14:textId="7D982370" w:rsidR="00071F35" w:rsidRDefault="00071F35" w:rsidP="00071F35">
      <w:pPr>
        <w:jc w:val="both"/>
        <w:rPr>
          <w:rFonts w:ascii="Arial" w:hAnsi="Arial" w:cs="Arial"/>
        </w:rPr>
      </w:pPr>
      <w:r w:rsidRPr="00071F35">
        <w:rPr>
          <w:rFonts w:ascii="Arial" w:hAnsi="Arial" w:cs="Arial"/>
        </w:rPr>
        <w:t>La propagación define el límite de las transacciones de nuestra lógica empresarial. Spring logra iniciar y pausar una transacción de acuerdo con nuestra configuración de propagación.</w:t>
      </w:r>
    </w:p>
    <w:p w14:paraId="50946CEF" w14:textId="76CD52F3" w:rsidR="00071F35" w:rsidRDefault="00071F35" w:rsidP="00071F35">
      <w:pPr>
        <w:jc w:val="both"/>
        <w:rPr>
          <w:rFonts w:ascii="Arial" w:hAnsi="Arial" w:cs="Arial"/>
        </w:rPr>
      </w:pPr>
    </w:p>
    <w:p w14:paraId="2063644C" w14:textId="5AEAA51E" w:rsidR="00071F35" w:rsidRPr="00071F35" w:rsidRDefault="00071F35" w:rsidP="00071F35">
      <w:pPr>
        <w:jc w:val="both"/>
        <w:rPr>
          <w:rFonts w:ascii="Arial" w:hAnsi="Arial" w:cs="Arial"/>
        </w:rPr>
      </w:pPr>
      <w:r w:rsidRPr="00071F35">
        <w:rPr>
          <w:rFonts w:ascii="Arial" w:hAnsi="Arial" w:cs="Arial"/>
        </w:rPr>
        <w:t>REQUERIDO es la propagación predeterminada. Spring comprueba si hay una transacción activa y, si no existe, crea una nueva. De lo contrario, la lógica empresarial se agrega a la transacción actualmente activa:</w:t>
      </w:r>
    </w:p>
    <w:p w14:paraId="1540F6E5" w14:textId="5704BB0E" w:rsidR="00E40ABB" w:rsidRDefault="00E40ABB">
      <w:pPr>
        <w:spacing w:after="160" w:line="259" w:lineRule="auto"/>
        <w:rPr>
          <w:noProof/>
        </w:rPr>
      </w:pPr>
    </w:p>
    <w:p w14:paraId="203C038F" w14:textId="6417443D" w:rsidR="00071F35" w:rsidRDefault="00071F35" w:rsidP="00071F35">
      <w:pPr>
        <w:spacing w:after="160" w:line="259" w:lineRule="auto"/>
        <w:jc w:val="center"/>
        <w:rPr>
          <w:noProof/>
        </w:rPr>
      </w:pPr>
      <w:r>
        <w:rPr>
          <w:noProof/>
        </w:rPr>
        <w:drawing>
          <wp:inline distT="0" distB="0" distL="0" distR="0" wp14:anchorId="2CE1E45F" wp14:editId="7102EDCB">
            <wp:extent cx="4171950" cy="828675"/>
            <wp:effectExtent l="0" t="0" r="0" b="9525"/>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con confianza media"/>
                    <pic:cNvPicPr/>
                  </pic:nvPicPr>
                  <pic:blipFill>
                    <a:blip r:embed="rId10"/>
                    <a:stretch>
                      <a:fillRect/>
                    </a:stretch>
                  </pic:blipFill>
                  <pic:spPr>
                    <a:xfrm>
                      <a:off x="0" y="0"/>
                      <a:ext cx="4171950" cy="828675"/>
                    </a:xfrm>
                    <a:prstGeom prst="rect">
                      <a:avLst/>
                    </a:prstGeom>
                  </pic:spPr>
                </pic:pic>
              </a:graphicData>
            </a:graphic>
          </wp:inline>
        </w:drawing>
      </w:r>
    </w:p>
    <w:p w14:paraId="05EBEE7C" w14:textId="4728AC17" w:rsidR="00071F35" w:rsidRDefault="00071F35" w:rsidP="00071F35">
      <w:pPr>
        <w:spacing w:after="160" w:line="259" w:lineRule="auto"/>
        <w:rPr>
          <w:noProof/>
        </w:rPr>
      </w:pPr>
    </w:p>
    <w:p w14:paraId="7E5ECC2A" w14:textId="12DE6048" w:rsidR="00071F35" w:rsidRDefault="00071F35" w:rsidP="00071F35">
      <w:pPr>
        <w:spacing w:after="160" w:line="259" w:lineRule="auto"/>
        <w:rPr>
          <w:rFonts w:ascii="Arial" w:hAnsi="Arial" w:cs="Arial"/>
          <w:noProof/>
        </w:rPr>
      </w:pPr>
      <w:r w:rsidRPr="00071F35">
        <w:rPr>
          <w:rFonts w:ascii="Arial" w:hAnsi="Arial" w:cs="Arial"/>
          <w:noProof/>
        </w:rPr>
        <w:t>Para SOPORTES, Spring primero verifica si existe una transacción activa. Si existe una transacción, se utilizará la transacción existente. Si no hay una transacción, se ejecuta de forma no transaccional:</w:t>
      </w:r>
    </w:p>
    <w:p w14:paraId="7820754E" w14:textId="31245C62" w:rsidR="00071F35" w:rsidRDefault="00071F35" w:rsidP="00071F35">
      <w:pPr>
        <w:spacing w:after="160" w:line="259" w:lineRule="auto"/>
        <w:jc w:val="center"/>
        <w:rPr>
          <w:rFonts w:ascii="Arial" w:hAnsi="Arial" w:cs="Arial"/>
          <w:noProof/>
        </w:rPr>
      </w:pPr>
      <w:r>
        <w:rPr>
          <w:noProof/>
        </w:rPr>
        <w:drawing>
          <wp:inline distT="0" distB="0" distL="0" distR="0" wp14:anchorId="3BDF5506" wp14:editId="01CD8826">
            <wp:extent cx="4162425" cy="857250"/>
            <wp:effectExtent l="0" t="0" r="9525" b="0"/>
            <wp:docPr id="26" name="Imagen 2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con confianza baja"/>
                    <pic:cNvPicPr/>
                  </pic:nvPicPr>
                  <pic:blipFill>
                    <a:blip r:embed="rId11"/>
                    <a:stretch>
                      <a:fillRect/>
                    </a:stretch>
                  </pic:blipFill>
                  <pic:spPr>
                    <a:xfrm>
                      <a:off x="0" y="0"/>
                      <a:ext cx="4162425" cy="857250"/>
                    </a:xfrm>
                    <a:prstGeom prst="rect">
                      <a:avLst/>
                    </a:prstGeom>
                  </pic:spPr>
                </pic:pic>
              </a:graphicData>
            </a:graphic>
          </wp:inline>
        </w:drawing>
      </w:r>
    </w:p>
    <w:p w14:paraId="29268B26" w14:textId="1E84242C" w:rsidR="00071F35" w:rsidRDefault="00071F35" w:rsidP="00071F35">
      <w:pPr>
        <w:spacing w:after="160" w:line="259" w:lineRule="auto"/>
        <w:rPr>
          <w:rFonts w:ascii="Arial" w:hAnsi="Arial" w:cs="Arial"/>
          <w:noProof/>
        </w:rPr>
      </w:pPr>
      <w:r w:rsidRPr="00071F35">
        <w:rPr>
          <w:rFonts w:ascii="Arial" w:hAnsi="Arial" w:cs="Arial"/>
          <w:noProof/>
        </w:rPr>
        <w:lastRenderedPageBreak/>
        <w:t>Cuando la propagación sea OBLIGATORIA, si hay una transacción activa, se utilizará. Si no hay una transacción activa, Spring lanza una excepción:</w:t>
      </w:r>
    </w:p>
    <w:p w14:paraId="4E6C629B" w14:textId="2F0FBE1C" w:rsidR="00071F35" w:rsidRDefault="00071F35" w:rsidP="00071F35">
      <w:pPr>
        <w:spacing w:after="160" w:line="259" w:lineRule="auto"/>
        <w:rPr>
          <w:rFonts w:ascii="Arial" w:hAnsi="Arial" w:cs="Arial"/>
          <w:noProof/>
        </w:rPr>
      </w:pPr>
    </w:p>
    <w:p w14:paraId="09FCFDEF" w14:textId="204D86EE" w:rsidR="00071F35" w:rsidRDefault="00071F35" w:rsidP="00071F35">
      <w:pPr>
        <w:spacing w:after="160" w:line="259" w:lineRule="auto"/>
        <w:rPr>
          <w:noProof/>
        </w:rPr>
      </w:pPr>
      <w:r>
        <w:rPr>
          <w:noProof/>
        </w:rPr>
        <w:drawing>
          <wp:inline distT="0" distB="0" distL="0" distR="0" wp14:anchorId="3AA8D8BB" wp14:editId="7A8F596B">
            <wp:extent cx="4143375" cy="800100"/>
            <wp:effectExtent l="0" t="0" r="952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2"/>
                    <a:stretch>
                      <a:fillRect/>
                    </a:stretch>
                  </pic:blipFill>
                  <pic:spPr>
                    <a:xfrm>
                      <a:off x="0" y="0"/>
                      <a:ext cx="4143375" cy="800100"/>
                    </a:xfrm>
                    <a:prstGeom prst="rect">
                      <a:avLst/>
                    </a:prstGeom>
                  </pic:spPr>
                </pic:pic>
              </a:graphicData>
            </a:graphic>
          </wp:inline>
        </w:drawing>
      </w:r>
    </w:p>
    <w:p w14:paraId="56AF62A7" w14:textId="77777777" w:rsidR="00BE6719" w:rsidRDefault="00BE6719" w:rsidP="00BE6719">
      <w:pPr>
        <w:jc w:val="both"/>
        <w:rPr>
          <w:rFonts w:ascii="Arial" w:hAnsi="Arial" w:cs="Arial"/>
          <w:b/>
          <w:bCs/>
        </w:rPr>
      </w:pPr>
    </w:p>
    <w:p w14:paraId="484EF9D0" w14:textId="16E47D80" w:rsidR="00BE6719" w:rsidRPr="00071F35" w:rsidRDefault="00BE6719" w:rsidP="00BE6719">
      <w:pPr>
        <w:jc w:val="both"/>
        <w:rPr>
          <w:rFonts w:ascii="Arial" w:hAnsi="Arial" w:cs="Arial"/>
          <w:b/>
          <w:bCs/>
        </w:rPr>
      </w:pPr>
      <w:proofErr w:type="spellStart"/>
      <w:r w:rsidRPr="00071F35">
        <w:rPr>
          <w:rFonts w:ascii="Arial" w:hAnsi="Arial" w:cs="Arial"/>
          <w:b/>
          <w:bCs/>
        </w:rPr>
        <w:t>Transaction</w:t>
      </w:r>
      <w:proofErr w:type="spellEnd"/>
      <w:r w:rsidRPr="00071F35">
        <w:rPr>
          <w:rFonts w:ascii="Arial" w:hAnsi="Arial" w:cs="Arial"/>
          <w:b/>
          <w:bCs/>
        </w:rPr>
        <w:t xml:space="preserve"> </w:t>
      </w:r>
      <w:proofErr w:type="spellStart"/>
      <w:r>
        <w:rPr>
          <w:rFonts w:ascii="Arial" w:hAnsi="Arial" w:cs="Arial"/>
          <w:b/>
          <w:bCs/>
        </w:rPr>
        <w:t>Isolation</w:t>
      </w:r>
      <w:proofErr w:type="spellEnd"/>
    </w:p>
    <w:p w14:paraId="4141B29D" w14:textId="77777777" w:rsidR="00BE6719" w:rsidRDefault="00BE6719" w:rsidP="00071F35">
      <w:pPr>
        <w:spacing w:after="160" w:line="259" w:lineRule="auto"/>
        <w:rPr>
          <w:rFonts w:ascii="Arial" w:hAnsi="Arial" w:cs="Arial"/>
          <w:noProof/>
        </w:rPr>
      </w:pPr>
    </w:p>
    <w:p w14:paraId="0FCB9864" w14:textId="216881A1" w:rsidR="00071F35" w:rsidRPr="00071F35" w:rsidRDefault="00071F35" w:rsidP="00071F35">
      <w:pPr>
        <w:spacing w:after="160" w:line="259" w:lineRule="auto"/>
        <w:rPr>
          <w:rFonts w:ascii="Arial" w:hAnsi="Arial" w:cs="Arial"/>
          <w:noProof/>
        </w:rPr>
      </w:pPr>
      <w:r w:rsidRPr="00071F35">
        <w:rPr>
          <w:rFonts w:ascii="Arial" w:hAnsi="Arial" w:cs="Arial"/>
          <w:noProof/>
        </w:rPr>
        <w:t>El aislamiento es una de las propiedades comunes del ACID: atomicidad, consistencia, aislamiento y durabilidad. El aislamiento describe cómo los cambios aplicados por transacciones concurrentes son visibles entre sí.</w:t>
      </w:r>
    </w:p>
    <w:p w14:paraId="3082A1C6"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Cada nivel de aislamiento evita cero o más efectos secundarios de simultaneidad en una transacción:</w:t>
      </w:r>
    </w:p>
    <w:p w14:paraId="6D8C0AF9" w14:textId="16658C43" w:rsidR="00071F35" w:rsidRPr="00071F35" w:rsidRDefault="00071F35" w:rsidP="00071F35">
      <w:pPr>
        <w:pStyle w:val="Prrafodelista"/>
        <w:numPr>
          <w:ilvl w:val="0"/>
          <w:numId w:val="24"/>
        </w:numPr>
        <w:spacing w:after="160" w:line="259" w:lineRule="auto"/>
        <w:rPr>
          <w:rFonts w:ascii="Arial" w:hAnsi="Arial" w:cs="Arial"/>
          <w:noProof/>
        </w:rPr>
      </w:pPr>
      <w:r w:rsidRPr="00071F35">
        <w:rPr>
          <w:rFonts w:ascii="Arial" w:hAnsi="Arial" w:cs="Arial"/>
          <w:noProof/>
        </w:rPr>
        <w:t>Lectura sucia: lee el cambio no confirmado de una transacción concurrente</w:t>
      </w:r>
    </w:p>
    <w:p w14:paraId="308DDA4F" w14:textId="6771A885" w:rsidR="00071F35" w:rsidRPr="00071F35" w:rsidRDefault="00071F35" w:rsidP="00071F35">
      <w:pPr>
        <w:pStyle w:val="Prrafodelista"/>
        <w:numPr>
          <w:ilvl w:val="0"/>
          <w:numId w:val="24"/>
        </w:numPr>
        <w:spacing w:after="160" w:line="259" w:lineRule="auto"/>
        <w:rPr>
          <w:rFonts w:ascii="Arial" w:hAnsi="Arial" w:cs="Arial"/>
          <w:noProof/>
        </w:rPr>
      </w:pPr>
      <w:r w:rsidRPr="00071F35">
        <w:rPr>
          <w:rFonts w:ascii="Arial" w:hAnsi="Arial" w:cs="Arial"/>
          <w:noProof/>
        </w:rPr>
        <w:t>Lectura no repetible: obtenga un valor diferente al volver a leer una fila si una transacción concurrente actualiza la misma fila y se confirma</w:t>
      </w:r>
    </w:p>
    <w:p w14:paraId="4CFCD93F" w14:textId="373B1410" w:rsidR="00071F35" w:rsidRPr="00071F35" w:rsidRDefault="00071F35" w:rsidP="00071F35">
      <w:pPr>
        <w:pStyle w:val="Prrafodelista"/>
        <w:numPr>
          <w:ilvl w:val="0"/>
          <w:numId w:val="24"/>
        </w:numPr>
        <w:spacing w:after="160" w:line="259" w:lineRule="auto"/>
        <w:rPr>
          <w:rFonts w:ascii="Arial" w:hAnsi="Arial" w:cs="Arial"/>
          <w:noProof/>
        </w:rPr>
      </w:pPr>
      <w:r w:rsidRPr="00071F35">
        <w:rPr>
          <w:rFonts w:ascii="Arial" w:hAnsi="Arial" w:cs="Arial"/>
          <w:noProof/>
        </w:rPr>
        <w:t>Lectura fantasma: obtenga diferentes filas después de volver a ejecutar una consulta de rango si otra transacción agrega o elimina algunas filas en el rango y confirma</w:t>
      </w:r>
    </w:p>
    <w:p w14:paraId="22E021CF" w14:textId="77777777" w:rsidR="00071F35" w:rsidRDefault="00071F35" w:rsidP="00071F35">
      <w:pPr>
        <w:spacing w:after="160" w:line="259" w:lineRule="auto"/>
        <w:rPr>
          <w:rFonts w:ascii="Arial" w:hAnsi="Arial" w:cs="Arial"/>
          <w:noProof/>
        </w:rPr>
      </w:pPr>
    </w:p>
    <w:p w14:paraId="332CE399" w14:textId="280D5770" w:rsidR="00071F35" w:rsidRPr="00071F35" w:rsidRDefault="00071F35" w:rsidP="00071F35">
      <w:pPr>
        <w:spacing w:after="160" w:line="259" w:lineRule="auto"/>
        <w:rPr>
          <w:rFonts w:ascii="Arial" w:hAnsi="Arial" w:cs="Arial"/>
          <w:noProof/>
        </w:rPr>
      </w:pPr>
      <w:r w:rsidRPr="00071F35">
        <w:rPr>
          <w:rFonts w:ascii="Arial" w:hAnsi="Arial" w:cs="Arial"/>
          <w:noProof/>
        </w:rPr>
        <w:t>READ_UNCOMMITTED es el nivel de aislamiento más bajo y permite el acceso más concurrente.</w:t>
      </w:r>
    </w:p>
    <w:p w14:paraId="74A6D079"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Como resultado, sufre los tres efectos secundarios de concurrencia mencionados. Una transacción con este aislamiento lee datos no confirmados de otras transacciones concurrentes. Además, pueden producirse lecturas fantasmas y no repetibles. Por lo tanto, podemos obtener un resultado diferente al volver a leer una fila o al volver a ejecutar una consulta de rango.</w:t>
      </w:r>
    </w:p>
    <w:p w14:paraId="0A46759C" w14:textId="029BA4C9" w:rsidR="00071F35" w:rsidRPr="00071F35" w:rsidRDefault="00071F35" w:rsidP="00071F35">
      <w:pPr>
        <w:spacing w:after="160" w:line="259" w:lineRule="auto"/>
        <w:rPr>
          <w:rFonts w:ascii="Arial" w:hAnsi="Arial" w:cs="Arial"/>
          <w:noProof/>
        </w:rPr>
      </w:pPr>
      <w:r w:rsidRPr="00071F35">
        <w:rPr>
          <w:rFonts w:ascii="Arial" w:hAnsi="Arial" w:cs="Arial"/>
          <w:noProof/>
        </w:rPr>
        <w:t>Podemos establecer el nivel de aislamiento para un método o clase:</w:t>
      </w:r>
    </w:p>
    <w:p w14:paraId="64E13868" w14:textId="69CFA77C" w:rsidR="00071F35" w:rsidRDefault="00071F35" w:rsidP="00071F35">
      <w:pPr>
        <w:spacing w:after="160" w:line="259" w:lineRule="auto"/>
        <w:rPr>
          <w:rFonts w:ascii="Arial" w:hAnsi="Arial" w:cs="Arial"/>
          <w:noProof/>
          <w:lang w:val="en-US"/>
        </w:rPr>
      </w:pPr>
      <w:r>
        <w:rPr>
          <w:noProof/>
        </w:rPr>
        <w:drawing>
          <wp:inline distT="0" distB="0" distL="0" distR="0" wp14:anchorId="327C2158" wp14:editId="5F180D66">
            <wp:extent cx="4543425" cy="742950"/>
            <wp:effectExtent l="0" t="0" r="9525"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13"/>
                    <a:stretch>
                      <a:fillRect/>
                    </a:stretch>
                  </pic:blipFill>
                  <pic:spPr>
                    <a:xfrm>
                      <a:off x="0" y="0"/>
                      <a:ext cx="4543425" cy="742950"/>
                    </a:xfrm>
                    <a:prstGeom prst="rect">
                      <a:avLst/>
                    </a:prstGeom>
                  </pic:spPr>
                </pic:pic>
              </a:graphicData>
            </a:graphic>
          </wp:inline>
        </w:drawing>
      </w:r>
    </w:p>
    <w:p w14:paraId="5E592F2A" w14:textId="50CBB2D1" w:rsidR="00071F35" w:rsidRDefault="00071F35" w:rsidP="00071F35">
      <w:pPr>
        <w:spacing w:after="160" w:line="259" w:lineRule="auto"/>
        <w:rPr>
          <w:rFonts w:ascii="Arial" w:hAnsi="Arial" w:cs="Arial"/>
          <w:noProof/>
          <w:lang w:val="en-US"/>
        </w:rPr>
      </w:pPr>
    </w:p>
    <w:p w14:paraId="71B7F39E" w14:textId="3909F8A6" w:rsidR="00071F35" w:rsidRDefault="00071F35" w:rsidP="00071F35">
      <w:pPr>
        <w:spacing w:after="160" w:line="259" w:lineRule="auto"/>
        <w:rPr>
          <w:rFonts w:ascii="Arial" w:hAnsi="Arial" w:cs="Arial"/>
          <w:noProof/>
          <w:lang w:val="en-US"/>
        </w:rPr>
      </w:pPr>
    </w:p>
    <w:p w14:paraId="4E94C2B5" w14:textId="3BFE81C1" w:rsidR="00071F35" w:rsidRDefault="00071F35" w:rsidP="00071F35">
      <w:pPr>
        <w:spacing w:after="160" w:line="259" w:lineRule="auto"/>
        <w:rPr>
          <w:rFonts w:ascii="Arial" w:hAnsi="Arial" w:cs="Arial"/>
          <w:noProof/>
          <w:lang w:val="en-US"/>
        </w:rPr>
      </w:pPr>
    </w:p>
    <w:p w14:paraId="2DC4A773" w14:textId="6C58B48D" w:rsidR="00071F35" w:rsidRDefault="00071F35" w:rsidP="00071F35">
      <w:pPr>
        <w:spacing w:after="160" w:line="259" w:lineRule="auto"/>
        <w:rPr>
          <w:rFonts w:ascii="Arial" w:hAnsi="Arial" w:cs="Arial"/>
          <w:noProof/>
          <w:lang w:val="en-US"/>
        </w:rPr>
      </w:pPr>
    </w:p>
    <w:p w14:paraId="3E1413DB"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El segundo nivel de aislamiento, READ_COMMITTED, evita las lecturas sucias.</w:t>
      </w:r>
    </w:p>
    <w:p w14:paraId="00C7CEBF"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El resto de los efectos secundarios de la concurrencia aún podrían ocurrir. Por lo tanto, los cambios no confirmados en transacciones simultáneas no tienen ningún impacto en nosotros, pero si una transacción confirma sus cambios, nuestro resultado podría cambiar si volvemos a consultar.</w:t>
      </w:r>
    </w:p>
    <w:p w14:paraId="221373E5" w14:textId="6BC10A10" w:rsidR="00071F35" w:rsidRPr="00071F35" w:rsidRDefault="00071F35" w:rsidP="00071F35">
      <w:pPr>
        <w:spacing w:after="160" w:line="259" w:lineRule="auto"/>
        <w:rPr>
          <w:rFonts w:ascii="Arial" w:hAnsi="Arial" w:cs="Arial"/>
          <w:noProof/>
        </w:rPr>
      </w:pPr>
      <w:r w:rsidRPr="00071F35">
        <w:rPr>
          <w:rFonts w:ascii="Arial" w:hAnsi="Arial" w:cs="Arial"/>
          <w:noProof/>
        </w:rPr>
        <w:t>Aquí establecemos el nivel de aislamiento:</w:t>
      </w:r>
    </w:p>
    <w:p w14:paraId="3197D9AA" w14:textId="0B7DBC92" w:rsidR="00071F35" w:rsidRDefault="00071F35" w:rsidP="00071F35">
      <w:pPr>
        <w:spacing w:after="160" w:line="259" w:lineRule="auto"/>
        <w:rPr>
          <w:rFonts w:ascii="Arial" w:hAnsi="Arial" w:cs="Arial"/>
          <w:noProof/>
          <w:lang w:val="en-US"/>
        </w:rPr>
      </w:pPr>
      <w:r>
        <w:rPr>
          <w:noProof/>
        </w:rPr>
        <w:drawing>
          <wp:inline distT="0" distB="0" distL="0" distR="0" wp14:anchorId="01E07579" wp14:editId="1B075B75">
            <wp:extent cx="4295775" cy="828675"/>
            <wp:effectExtent l="0" t="0" r="9525"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4"/>
                    <a:stretch>
                      <a:fillRect/>
                    </a:stretch>
                  </pic:blipFill>
                  <pic:spPr>
                    <a:xfrm>
                      <a:off x="0" y="0"/>
                      <a:ext cx="4295775" cy="828675"/>
                    </a:xfrm>
                    <a:prstGeom prst="rect">
                      <a:avLst/>
                    </a:prstGeom>
                  </pic:spPr>
                </pic:pic>
              </a:graphicData>
            </a:graphic>
          </wp:inline>
        </w:drawing>
      </w:r>
    </w:p>
    <w:p w14:paraId="40B56D7A"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El tercer nivel de aislamiento, REPEATABLE_READ, evita lecturas sucias y no repetibles. Por lo tanto, no nos afectan los cambios no comprometidos en las transacciones simultáneas.</w:t>
      </w:r>
    </w:p>
    <w:p w14:paraId="29B2AA8A"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Además, cuando volvemos a consultar una fila, no obtenemos un resultado diferente. Sin embargo, al volver a ejecutar las consultas de rango, es posible que obtengamos filas recién agregadas o eliminadas.</w:t>
      </w:r>
    </w:p>
    <w:p w14:paraId="688A65C7" w14:textId="77777777" w:rsidR="00071F35" w:rsidRPr="00071F35" w:rsidRDefault="00071F35" w:rsidP="00071F35">
      <w:pPr>
        <w:spacing w:after="160" w:line="259" w:lineRule="auto"/>
        <w:rPr>
          <w:rFonts w:ascii="Arial" w:hAnsi="Arial" w:cs="Arial"/>
          <w:noProof/>
        </w:rPr>
      </w:pPr>
      <w:r w:rsidRPr="00071F35">
        <w:rPr>
          <w:rFonts w:ascii="Arial" w:hAnsi="Arial" w:cs="Arial"/>
          <w:noProof/>
        </w:rPr>
        <w:t>Además, es el nivel más bajo requerido para evitar la pérdida de actualización. La actualización perdida ocurre cuando dos o más transacciones simultáneas leen y actualizan la misma fila. REPEATABLE_READ no permite el acceso simultáneo a una fila en absoluto. Por lo tanto, la actualización perdida no puede ocurrir.</w:t>
      </w:r>
    </w:p>
    <w:p w14:paraId="0D01E2A1" w14:textId="6DE6F568" w:rsidR="00071F35" w:rsidRPr="00071F35" w:rsidRDefault="00071F35" w:rsidP="00071F35">
      <w:pPr>
        <w:spacing w:after="160" w:line="259" w:lineRule="auto"/>
        <w:rPr>
          <w:rFonts w:ascii="Arial" w:hAnsi="Arial" w:cs="Arial"/>
          <w:noProof/>
        </w:rPr>
      </w:pPr>
      <w:r w:rsidRPr="00071F35">
        <w:rPr>
          <w:rFonts w:ascii="Arial" w:hAnsi="Arial" w:cs="Arial"/>
          <w:noProof/>
        </w:rPr>
        <w:t>A continuación, se explica cómo establecer el nivel de aislamiento para un método:</w:t>
      </w:r>
    </w:p>
    <w:p w14:paraId="7429D9EE" w14:textId="2665A7E3" w:rsidR="00071F35" w:rsidRDefault="00071F35" w:rsidP="00071F35">
      <w:pPr>
        <w:spacing w:after="160" w:line="259" w:lineRule="auto"/>
        <w:rPr>
          <w:rFonts w:ascii="Arial" w:hAnsi="Arial" w:cs="Arial"/>
          <w:noProof/>
          <w:lang w:val="en-US"/>
        </w:rPr>
      </w:pPr>
      <w:r>
        <w:rPr>
          <w:noProof/>
        </w:rPr>
        <w:drawing>
          <wp:inline distT="0" distB="0" distL="0" distR="0" wp14:anchorId="122F2448" wp14:editId="358F899E">
            <wp:extent cx="4314825" cy="781050"/>
            <wp:effectExtent l="0" t="0" r="9525"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15"/>
                    <a:stretch>
                      <a:fillRect/>
                    </a:stretch>
                  </pic:blipFill>
                  <pic:spPr>
                    <a:xfrm>
                      <a:off x="0" y="0"/>
                      <a:ext cx="4314825" cy="781050"/>
                    </a:xfrm>
                    <a:prstGeom prst="rect">
                      <a:avLst/>
                    </a:prstGeom>
                  </pic:spPr>
                </pic:pic>
              </a:graphicData>
            </a:graphic>
          </wp:inline>
        </w:drawing>
      </w:r>
    </w:p>
    <w:p w14:paraId="24E66830" w14:textId="3637C02C" w:rsidR="002E44DA" w:rsidRDefault="002E44DA" w:rsidP="00071F35">
      <w:pPr>
        <w:spacing w:after="160" w:line="259" w:lineRule="auto"/>
        <w:rPr>
          <w:rFonts w:ascii="Arial" w:hAnsi="Arial" w:cs="Arial"/>
          <w:noProof/>
          <w:lang w:val="en-US"/>
        </w:rPr>
      </w:pPr>
    </w:p>
    <w:p w14:paraId="15C21D23" w14:textId="77777777" w:rsidR="002E44DA" w:rsidRPr="002E44DA" w:rsidRDefault="002E44DA" w:rsidP="002E44DA">
      <w:pPr>
        <w:spacing w:after="160" w:line="259" w:lineRule="auto"/>
        <w:rPr>
          <w:rFonts w:ascii="Arial" w:hAnsi="Arial" w:cs="Arial"/>
          <w:noProof/>
        </w:rPr>
      </w:pPr>
      <w:r w:rsidRPr="002E44DA">
        <w:rPr>
          <w:rFonts w:ascii="Arial" w:hAnsi="Arial" w:cs="Arial"/>
          <w:noProof/>
        </w:rPr>
        <w:t>SERIALIZABLE es el nivel más alto de aislamiento. Evita todos los efectos secundarios de concurrencia mencionados, pero puede conducir a la tasa de acceso concurrente más baja porque ejecuta llamadas concurrentes secuencialmente.</w:t>
      </w:r>
    </w:p>
    <w:p w14:paraId="2533D77F" w14:textId="77777777" w:rsidR="002E44DA" w:rsidRPr="002E44DA" w:rsidRDefault="002E44DA" w:rsidP="002E44DA">
      <w:pPr>
        <w:spacing w:after="160" w:line="259" w:lineRule="auto"/>
        <w:rPr>
          <w:rFonts w:ascii="Arial" w:hAnsi="Arial" w:cs="Arial"/>
          <w:noProof/>
        </w:rPr>
      </w:pPr>
      <w:r w:rsidRPr="002E44DA">
        <w:rPr>
          <w:rFonts w:ascii="Arial" w:hAnsi="Arial" w:cs="Arial"/>
          <w:noProof/>
        </w:rPr>
        <w:t>En otras palabras, la ejecución concurrente de un grupo de transacciones serializables tiene el mismo resultado que ejecutarlas en serie.</w:t>
      </w:r>
    </w:p>
    <w:p w14:paraId="50DEED77" w14:textId="6B441FCB" w:rsidR="002E44DA" w:rsidRDefault="002E44DA">
      <w:pPr>
        <w:spacing w:after="160" w:line="259" w:lineRule="auto"/>
        <w:rPr>
          <w:rFonts w:ascii="Arial" w:hAnsi="Arial" w:cs="Arial"/>
          <w:noProof/>
        </w:rPr>
      </w:pPr>
      <w:r>
        <w:rPr>
          <w:rFonts w:ascii="Arial" w:hAnsi="Arial" w:cs="Arial"/>
          <w:noProof/>
        </w:rPr>
        <w:br w:type="page"/>
      </w:r>
    </w:p>
    <w:p w14:paraId="13D41D72" w14:textId="1348CF44" w:rsidR="002E44DA" w:rsidRPr="002E44DA" w:rsidRDefault="002E44DA" w:rsidP="002E44DA">
      <w:pPr>
        <w:spacing w:after="160" w:line="259" w:lineRule="auto"/>
        <w:rPr>
          <w:rFonts w:ascii="Arial" w:hAnsi="Arial" w:cs="Arial"/>
          <w:noProof/>
        </w:rPr>
      </w:pPr>
      <w:r w:rsidRPr="002E44DA">
        <w:rPr>
          <w:rFonts w:ascii="Arial" w:hAnsi="Arial" w:cs="Arial"/>
          <w:noProof/>
        </w:rPr>
        <w:lastRenderedPageBreak/>
        <w:t>Ahora veamos cómo establecer SERIALIZABLE como nivel de aislamiento:</w:t>
      </w:r>
    </w:p>
    <w:p w14:paraId="0E285D7A" w14:textId="7FEF6F0D" w:rsidR="00071F35" w:rsidRDefault="00071F35" w:rsidP="00071F35">
      <w:pPr>
        <w:spacing w:after="160" w:line="259" w:lineRule="auto"/>
        <w:rPr>
          <w:rFonts w:ascii="Arial" w:hAnsi="Arial" w:cs="Arial"/>
          <w:noProof/>
          <w:lang w:val="en-US"/>
        </w:rPr>
      </w:pPr>
      <w:r>
        <w:rPr>
          <w:noProof/>
        </w:rPr>
        <w:drawing>
          <wp:inline distT="0" distB="0" distL="0" distR="0" wp14:anchorId="1F8449F9" wp14:editId="31169FDD">
            <wp:extent cx="4162425" cy="819150"/>
            <wp:effectExtent l="0" t="0" r="9525" b="0"/>
            <wp:docPr id="33" name="Imagen 3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media"/>
                    <pic:cNvPicPr/>
                  </pic:nvPicPr>
                  <pic:blipFill>
                    <a:blip r:embed="rId16"/>
                    <a:stretch>
                      <a:fillRect/>
                    </a:stretch>
                  </pic:blipFill>
                  <pic:spPr>
                    <a:xfrm>
                      <a:off x="0" y="0"/>
                      <a:ext cx="4162425" cy="819150"/>
                    </a:xfrm>
                    <a:prstGeom prst="rect">
                      <a:avLst/>
                    </a:prstGeom>
                  </pic:spPr>
                </pic:pic>
              </a:graphicData>
            </a:graphic>
          </wp:inline>
        </w:drawing>
      </w:r>
    </w:p>
    <w:p w14:paraId="343D1471" w14:textId="77777777" w:rsidR="00071F35" w:rsidRPr="00071F35" w:rsidRDefault="00071F35" w:rsidP="00071F35">
      <w:pPr>
        <w:spacing w:after="160" w:line="259" w:lineRule="auto"/>
        <w:rPr>
          <w:rFonts w:ascii="Arial" w:hAnsi="Arial" w:cs="Arial"/>
          <w:noProof/>
          <w:lang w:val="en-US"/>
        </w:rPr>
      </w:pPr>
    </w:p>
    <w:p w14:paraId="7A8C6C95" w14:textId="01A4B086" w:rsidR="0039318C" w:rsidRPr="00745DF3" w:rsidRDefault="0039318C" w:rsidP="0039318C">
      <w:pPr>
        <w:jc w:val="both"/>
        <w:rPr>
          <w:rFonts w:ascii="Arial" w:hAnsi="Arial" w:cs="Arial"/>
          <w:b/>
          <w:bCs/>
          <w:color w:val="6F01EE"/>
        </w:rPr>
      </w:pPr>
      <w:r w:rsidRPr="00745DF3">
        <w:rPr>
          <w:rFonts w:ascii="Arial" w:hAnsi="Arial" w:cs="Arial"/>
          <w:b/>
          <w:bCs/>
          <w:color w:val="6F01EE"/>
        </w:rPr>
        <w:t xml:space="preserve">Subtema </w:t>
      </w:r>
      <w:r w:rsidR="00E40ABB">
        <w:rPr>
          <w:rFonts w:ascii="Arial" w:hAnsi="Arial" w:cs="Arial"/>
          <w:b/>
          <w:bCs/>
          <w:color w:val="6F01EE"/>
        </w:rPr>
        <w:t>6</w:t>
      </w:r>
      <w:r w:rsidRPr="00745DF3">
        <w:rPr>
          <w:rFonts w:ascii="Arial" w:hAnsi="Arial" w:cs="Arial"/>
          <w:b/>
          <w:bCs/>
          <w:color w:val="6F01EE"/>
        </w:rPr>
        <w:t>.</w:t>
      </w:r>
      <w:r w:rsidR="004A37D5">
        <w:rPr>
          <w:rFonts w:ascii="Arial" w:hAnsi="Arial" w:cs="Arial"/>
          <w:b/>
          <w:bCs/>
          <w:color w:val="6F01EE"/>
        </w:rPr>
        <w:t>3</w:t>
      </w:r>
      <w:r w:rsidRPr="00745DF3">
        <w:rPr>
          <w:rFonts w:ascii="Arial" w:hAnsi="Arial" w:cs="Arial"/>
          <w:b/>
          <w:bCs/>
          <w:color w:val="6F01EE"/>
        </w:rPr>
        <w:t>:</w:t>
      </w:r>
    </w:p>
    <w:p w14:paraId="507A2B9A" w14:textId="3B2670E5" w:rsidR="005D64E4" w:rsidRPr="005D64E4" w:rsidRDefault="00E40ABB" w:rsidP="009B6A04">
      <w:pPr>
        <w:rPr>
          <w:rFonts w:ascii="Arial" w:hAnsi="Arial" w:cs="Arial"/>
          <w:color w:val="6F01EE"/>
          <w:sz w:val="36"/>
          <w:szCs w:val="36"/>
          <w:lang w:eastAsia="es-MX"/>
        </w:rPr>
      </w:pPr>
      <w:r w:rsidRPr="00E40ABB">
        <w:rPr>
          <w:rFonts w:ascii="Arial" w:hAnsi="Arial" w:cs="Arial"/>
          <w:color w:val="6F01EE"/>
          <w:sz w:val="36"/>
          <w:szCs w:val="36"/>
          <w:lang w:eastAsia="es-MX"/>
        </w:rPr>
        <w:t>Realizar prueba de confirmación de transacción</w:t>
      </w:r>
      <w:r w:rsidR="005D64E4" w:rsidRPr="005D64E4">
        <w:rPr>
          <w:rFonts w:ascii="Arial" w:hAnsi="Arial" w:cs="Arial"/>
          <w:color w:val="6F01EE"/>
          <w:sz w:val="36"/>
          <w:szCs w:val="36"/>
          <w:lang w:eastAsia="es-MX"/>
        </w:rPr>
        <w:t xml:space="preserve"> </w:t>
      </w:r>
    </w:p>
    <w:p w14:paraId="115ABE1C" w14:textId="5A1E1E38" w:rsidR="009B6A04" w:rsidRDefault="009B6A04" w:rsidP="009B6A04">
      <w:pPr>
        <w:rPr>
          <w:rFonts w:ascii="Arial" w:hAnsi="Arial" w:cs="Arial"/>
          <w:b/>
          <w:bCs/>
          <w:noProof/>
          <w:color w:val="6F01EE"/>
          <w:lang w:eastAsia="es-MX"/>
        </w:rPr>
      </w:pPr>
      <w:r w:rsidRPr="00340E0C">
        <w:rPr>
          <w:rFonts w:ascii="Arial" w:hAnsi="Arial" w:cs="Arial"/>
          <w:b/>
          <w:bCs/>
          <w:noProof/>
          <w:color w:val="6F01EE"/>
          <w:lang w:eastAsia="es-MX"/>
        </w:rPr>
        <w:t>Ejemplos:</w:t>
      </w:r>
    </w:p>
    <w:p w14:paraId="24BA7F5B" w14:textId="1F636E10" w:rsidR="009B6A04" w:rsidRDefault="009B6A04" w:rsidP="009B6A04">
      <w:pPr>
        <w:rPr>
          <w:rFonts w:ascii="Arial" w:hAnsi="Arial" w:cs="Arial"/>
          <w:noProof/>
          <w:lang w:eastAsia="es-MX"/>
        </w:rPr>
      </w:pPr>
    </w:p>
    <w:p w14:paraId="451A223D" w14:textId="77777777" w:rsidR="0027260E" w:rsidRPr="0027260E" w:rsidRDefault="0027260E" w:rsidP="0027260E">
      <w:pPr>
        <w:spacing w:after="160" w:line="259" w:lineRule="auto"/>
        <w:rPr>
          <w:rFonts w:ascii="Arial" w:hAnsi="Arial" w:cs="Arial"/>
          <w:noProof/>
        </w:rPr>
      </w:pPr>
      <w:r w:rsidRPr="0027260E">
        <w:rPr>
          <w:rFonts w:ascii="Arial" w:hAnsi="Arial" w:cs="Arial"/>
          <w:noProof/>
        </w:rPr>
        <w:t>Spring crea un proxy o manipula el código de bytes de la clase para administrar la creación, confirmación y reversión de la transacción. En el caso de un proxy, Spring ignora @Transactional en las llamadas a métodos internos.</w:t>
      </w:r>
    </w:p>
    <w:p w14:paraId="16A0583A" w14:textId="77777777" w:rsidR="0027260E" w:rsidRPr="0027260E" w:rsidRDefault="0027260E" w:rsidP="0027260E">
      <w:pPr>
        <w:spacing w:after="160" w:line="259" w:lineRule="auto"/>
        <w:rPr>
          <w:rFonts w:ascii="Arial" w:hAnsi="Arial" w:cs="Arial"/>
          <w:noProof/>
        </w:rPr>
      </w:pPr>
    </w:p>
    <w:p w14:paraId="71EDEFE6" w14:textId="6D84E28B" w:rsidR="00E40ABB" w:rsidRDefault="0027260E" w:rsidP="0027260E">
      <w:pPr>
        <w:spacing w:after="160" w:line="259" w:lineRule="auto"/>
        <w:rPr>
          <w:rFonts w:ascii="Arial" w:hAnsi="Arial" w:cs="Arial"/>
          <w:noProof/>
        </w:rPr>
      </w:pPr>
      <w:r w:rsidRPr="0027260E">
        <w:rPr>
          <w:rFonts w:ascii="Arial" w:hAnsi="Arial" w:cs="Arial"/>
          <w:noProof/>
        </w:rPr>
        <w:t>En pocas palabras, si tenemos un método como callMethod y lo marcamos como @Transactional, Spring ajustará algún código de gestión de transacciones alrededor del método invocation @ Transactional llamado:</w:t>
      </w:r>
    </w:p>
    <w:p w14:paraId="1DF3E436" w14:textId="3086ACE2" w:rsidR="0027260E" w:rsidRDefault="0027260E" w:rsidP="0027260E">
      <w:pPr>
        <w:spacing w:after="160" w:line="259" w:lineRule="auto"/>
        <w:rPr>
          <w:rFonts w:ascii="Arial" w:hAnsi="Arial" w:cs="Arial"/>
          <w:noProof/>
        </w:rPr>
      </w:pPr>
    </w:p>
    <w:p w14:paraId="39A31598" w14:textId="430E3D52" w:rsidR="0027260E" w:rsidRPr="0027260E" w:rsidRDefault="0027260E" w:rsidP="0027260E">
      <w:pPr>
        <w:spacing w:after="160" w:line="259" w:lineRule="auto"/>
        <w:jc w:val="center"/>
        <w:rPr>
          <w:rFonts w:ascii="Arial" w:hAnsi="Arial" w:cs="Arial"/>
          <w:noProof/>
        </w:rPr>
      </w:pPr>
      <w:r>
        <w:rPr>
          <w:noProof/>
        </w:rPr>
        <w:drawing>
          <wp:inline distT="0" distB="0" distL="0" distR="0" wp14:anchorId="14533AE0" wp14:editId="58064CCF">
            <wp:extent cx="3286125" cy="1676400"/>
            <wp:effectExtent l="0" t="0" r="9525" b="0"/>
            <wp:docPr id="38" name="Imagen 38"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magen de la pantalla de un celular de un mensaje en letras blancas&#10;&#10;Descripción generada automáticamente con confianza baja"/>
                    <pic:cNvPicPr/>
                  </pic:nvPicPr>
                  <pic:blipFill>
                    <a:blip r:embed="rId17"/>
                    <a:stretch>
                      <a:fillRect/>
                    </a:stretch>
                  </pic:blipFill>
                  <pic:spPr>
                    <a:xfrm>
                      <a:off x="0" y="0"/>
                      <a:ext cx="3286125" cy="1676400"/>
                    </a:xfrm>
                    <a:prstGeom prst="rect">
                      <a:avLst/>
                    </a:prstGeom>
                  </pic:spPr>
                </pic:pic>
              </a:graphicData>
            </a:graphic>
          </wp:inline>
        </w:drawing>
      </w:r>
    </w:p>
    <w:p w14:paraId="082839BC" w14:textId="73660B92" w:rsidR="00051C14" w:rsidRPr="00745DF3" w:rsidRDefault="00051C14" w:rsidP="00051C14">
      <w:pPr>
        <w:jc w:val="both"/>
        <w:rPr>
          <w:rFonts w:ascii="Arial" w:hAnsi="Arial" w:cs="Arial"/>
          <w:b/>
          <w:bCs/>
          <w:color w:val="6F01EE"/>
        </w:rPr>
      </w:pPr>
      <w:r w:rsidRPr="00745DF3">
        <w:rPr>
          <w:rFonts w:ascii="Arial" w:hAnsi="Arial" w:cs="Arial"/>
          <w:b/>
          <w:bCs/>
          <w:color w:val="6F01EE"/>
        </w:rPr>
        <w:t xml:space="preserve">Subtema </w:t>
      </w:r>
      <w:r w:rsidR="00E40ABB">
        <w:rPr>
          <w:rFonts w:ascii="Arial" w:hAnsi="Arial" w:cs="Arial"/>
          <w:b/>
          <w:bCs/>
          <w:color w:val="6F01EE"/>
        </w:rPr>
        <w:t>6</w:t>
      </w:r>
      <w:r w:rsidRPr="00745DF3">
        <w:rPr>
          <w:rFonts w:ascii="Arial" w:hAnsi="Arial" w:cs="Arial"/>
          <w:b/>
          <w:bCs/>
          <w:color w:val="6F01EE"/>
        </w:rPr>
        <w:t>.</w:t>
      </w:r>
      <w:r w:rsidR="004A37D5">
        <w:rPr>
          <w:rFonts w:ascii="Arial" w:hAnsi="Arial" w:cs="Arial"/>
          <w:b/>
          <w:bCs/>
          <w:color w:val="6F01EE"/>
        </w:rPr>
        <w:t>4</w:t>
      </w:r>
      <w:r w:rsidRPr="00745DF3">
        <w:rPr>
          <w:rFonts w:ascii="Arial" w:hAnsi="Arial" w:cs="Arial"/>
          <w:b/>
          <w:bCs/>
          <w:color w:val="6F01EE"/>
        </w:rPr>
        <w:t>:</w:t>
      </w:r>
    </w:p>
    <w:p w14:paraId="3F4E708F" w14:textId="2B481C3C" w:rsidR="005D64E4" w:rsidRPr="005D64E4" w:rsidRDefault="00E40ABB" w:rsidP="00612095">
      <w:pPr>
        <w:rPr>
          <w:rFonts w:ascii="Arial" w:hAnsi="Arial" w:cs="Arial"/>
          <w:color w:val="6F01EE"/>
          <w:sz w:val="36"/>
          <w:szCs w:val="36"/>
          <w:lang w:eastAsia="es-MX"/>
        </w:rPr>
      </w:pPr>
      <w:r w:rsidRPr="00E40ABB">
        <w:rPr>
          <w:rFonts w:ascii="Arial" w:hAnsi="Arial" w:cs="Arial"/>
          <w:color w:val="6F01EE"/>
          <w:sz w:val="36"/>
          <w:szCs w:val="36"/>
          <w:lang w:eastAsia="es-MX"/>
        </w:rPr>
        <w:t>Realizar prueba para deshacer una transacción</w:t>
      </w:r>
      <w:r w:rsidR="005D64E4" w:rsidRPr="005D64E4">
        <w:rPr>
          <w:rFonts w:ascii="Arial" w:hAnsi="Arial" w:cs="Arial"/>
          <w:color w:val="6F01EE"/>
          <w:sz w:val="36"/>
          <w:szCs w:val="36"/>
          <w:lang w:eastAsia="es-MX"/>
        </w:rPr>
        <w:t>.</w:t>
      </w:r>
    </w:p>
    <w:p w14:paraId="6D07B661" w14:textId="3ABB523B" w:rsidR="00612095" w:rsidRDefault="00612095" w:rsidP="00612095">
      <w:pPr>
        <w:rPr>
          <w:rFonts w:ascii="Arial" w:hAnsi="Arial" w:cs="Arial"/>
          <w:b/>
          <w:bCs/>
          <w:noProof/>
          <w:color w:val="6F01EE"/>
          <w:lang w:eastAsia="es-MX"/>
        </w:rPr>
      </w:pPr>
      <w:r w:rsidRPr="00340E0C">
        <w:rPr>
          <w:rFonts w:ascii="Arial" w:hAnsi="Arial" w:cs="Arial"/>
          <w:b/>
          <w:bCs/>
          <w:noProof/>
          <w:color w:val="6F01EE"/>
          <w:lang w:eastAsia="es-MX"/>
        </w:rPr>
        <w:t>Ejemplos:</w:t>
      </w:r>
    </w:p>
    <w:p w14:paraId="76C24147" w14:textId="1003A6E4" w:rsidR="00051C14" w:rsidRDefault="00051C14" w:rsidP="00051C14">
      <w:pPr>
        <w:rPr>
          <w:rFonts w:ascii="Arial" w:hAnsi="Arial" w:cs="Arial"/>
          <w:noProof/>
          <w:lang w:eastAsia="es-MX"/>
        </w:rPr>
      </w:pPr>
    </w:p>
    <w:p w14:paraId="2FF68983" w14:textId="77777777" w:rsidR="0027260E" w:rsidRPr="0027260E" w:rsidRDefault="0027260E" w:rsidP="0027260E">
      <w:pPr>
        <w:rPr>
          <w:rFonts w:ascii="Arial" w:hAnsi="Arial" w:cs="Arial"/>
          <w:noProof/>
          <w:lang w:eastAsia="es-MX"/>
        </w:rPr>
      </w:pPr>
      <w:r w:rsidRPr="0027260E">
        <w:rPr>
          <w:rFonts w:ascii="Arial" w:hAnsi="Arial" w:cs="Arial"/>
          <w:noProof/>
          <w:lang w:eastAsia="es-MX"/>
        </w:rPr>
        <w:t>La anotación @Transactional son los metadatos que especifican la semántica de las transacciones en un método. Tenemos dos formas de revertir una transacción: declarativa y programática.</w:t>
      </w:r>
    </w:p>
    <w:p w14:paraId="20063DE2" w14:textId="77777777" w:rsidR="0027260E" w:rsidRPr="0027260E" w:rsidRDefault="0027260E" w:rsidP="0027260E">
      <w:pPr>
        <w:rPr>
          <w:rFonts w:ascii="Arial" w:hAnsi="Arial" w:cs="Arial"/>
          <w:noProof/>
          <w:lang w:eastAsia="es-MX"/>
        </w:rPr>
      </w:pPr>
    </w:p>
    <w:p w14:paraId="2A80D208" w14:textId="77777777" w:rsidR="0027260E" w:rsidRPr="0027260E" w:rsidRDefault="0027260E" w:rsidP="0027260E">
      <w:pPr>
        <w:rPr>
          <w:rFonts w:ascii="Arial" w:hAnsi="Arial" w:cs="Arial"/>
          <w:noProof/>
          <w:lang w:eastAsia="es-MX"/>
        </w:rPr>
      </w:pPr>
      <w:r w:rsidRPr="0027260E">
        <w:rPr>
          <w:rFonts w:ascii="Arial" w:hAnsi="Arial" w:cs="Arial"/>
          <w:noProof/>
          <w:lang w:eastAsia="es-MX"/>
        </w:rPr>
        <w:t>En el enfoque declarativo, anotamos los métodos con la anotación @Transactional. La anotación @Transactional utiliza los atributos rollbackFor o rollbackForClassName para revertir las transacciones, y los atributos noRollbackFor o noRollbackForClassName para evitar la reversión de las excepciones enumeradas.</w:t>
      </w:r>
    </w:p>
    <w:p w14:paraId="2B0648F6" w14:textId="77777777" w:rsidR="0027260E" w:rsidRPr="0027260E" w:rsidRDefault="0027260E" w:rsidP="0027260E">
      <w:pPr>
        <w:rPr>
          <w:rFonts w:ascii="Arial" w:hAnsi="Arial" w:cs="Arial"/>
          <w:noProof/>
          <w:lang w:eastAsia="es-MX"/>
        </w:rPr>
      </w:pPr>
    </w:p>
    <w:p w14:paraId="7726209D" w14:textId="7CBE8FF4" w:rsidR="0027260E" w:rsidRDefault="0027260E" w:rsidP="0027260E">
      <w:pPr>
        <w:rPr>
          <w:rFonts w:ascii="Arial" w:hAnsi="Arial" w:cs="Arial"/>
          <w:noProof/>
          <w:lang w:eastAsia="es-MX"/>
        </w:rPr>
      </w:pPr>
      <w:r w:rsidRPr="0027260E">
        <w:rPr>
          <w:rFonts w:ascii="Arial" w:hAnsi="Arial" w:cs="Arial"/>
          <w:noProof/>
          <w:lang w:eastAsia="es-MX"/>
        </w:rPr>
        <w:lastRenderedPageBreak/>
        <w:t>El comportamiento de reversión predeterminado en el enfoque declarativo revertirá las excepciones en tiempo de ejecución.</w:t>
      </w:r>
    </w:p>
    <w:p w14:paraId="35A58006" w14:textId="292D2DBD" w:rsidR="0027260E" w:rsidRDefault="0027260E" w:rsidP="0027260E">
      <w:pPr>
        <w:rPr>
          <w:rFonts w:ascii="Arial" w:hAnsi="Arial" w:cs="Arial"/>
          <w:noProof/>
          <w:lang w:eastAsia="es-MX"/>
        </w:rPr>
      </w:pPr>
    </w:p>
    <w:p w14:paraId="4540710B" w14:textId="704AC697" w:rsidR="0027260E" w:rsidRDefault="0027260E" w:rsidP="0027260E">
      <w:pPr>
        <w:rPr>
          <w:rFonts w:ascii="Arial" w:hAnsi="Arial" w:cs="Arial"/>
          <w:noProof/>
          <w:lang w:eastAsia="es-MX"/>
        </w:rPr>
      </w:pPr>
      <w:r w:rsidRPr="0027260E">
        <w:rPr>
          <w:rFonts w:ascii="Arial" w:hAnsi="Arial" w:cs="Arial"/>
          <w:noProof/>
          <w:lang w:eastAsia="es-MX"/>
        </w:rPr>
        <w:t>Veamos un ejemplo simple que usa el enfoque declarativo para revertir una transacción para excepciones o errores en tiempo de ejecución:</w:t>
      </w:r>
    </w:p>
    <w:p w14:paraId="7FB17906" w14:textId="567CEA37" w:rsidR="0027260E" w:rsidRDefault="0027260E" w:rsidP="0027260E">
      <w:pPr>
        <w:rPr>
          <w:rFonts w:ascii="Arial" w:hAnsi="Arial" w:cs="Arial"/>
          <w:noProof/>
          <w:lang w:eastAsia="es-MX"/>
        </w:rPr>
      </w:pPr>
    </w:p>
    <w:p w14:paraId="113236BF" w14:textId="15A2089C" w:rsidR="0027260E" w:rsidRDefault="0027260E" w:rsidP="0027260E">
      <w:pPr>
        <w:rPr>
          <w:rFonts w:ascii="Arial" w:hAnsi="Arial" w:cs="Arial"/>
          <w:noProof/>
          <w:lang w:eastAsia="es-MX"/>
        </w:rPr>
      </w:pPr>
      <w:r>
        <w:rPr>
          <w:noProof/>
        </w:rPr>
        <w:drawing>
          <wp:inline distT="0" distB="0" distL="0" distR="0" wp14:anchorId="7CFACC84" wp14:editId="11C00279">
            <wp:extent cx="6120765" cy="835025"/>
            <wp:effectExtent l="0" t="0" r="0" b="3175"/>
            <wp:docPr id="34" name="Imagen 3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10;&#10;Descripción generada automáticamente"/>
                    <pic:cNvPicPr/>
                  </pic:nvPicPr>
                  <pic:blipFill>
                    <a:blip r:embed="rId18"/>
                    <a:stretch>
                      <a:fillRect/>
                    </a:stretch>
                  </pic:blipFill>
                  <pic:spPr>
                    <a:xfrm>
                      <a:off x="0" y="0"/>
                      <a:ext cx="6120765" cy="835025"/>
                    </a:xfrm>
                    <a:prstGeom prst="rect">
                      <a:avLst/>
                    </a:prstGeom>
                  </pic:spPr>
                </pic:pic>
              </a:graphicData>
            </a:graphic>
          </wp:inline>
        </w:drawing>
      </w:r>
    </w:p>
    <w:p w14:paraId="0430FAF4" w14:textId="7F77FDD0" w:rsidR="0027260E" w:rsidRDefault="0027260E" w:rsidP="0027260E">
      <w:pPr>
        <w:rPr>
          <w:rFonts w:ascii="Arial" w:hAnsi="Arial" w:cs="Arial"/>
          <w:noProof/>
          <w:lang w:eastAsia="es-MX"/>
        </w:rPr>
      </w:pPr>
    </w:p>
    <w:p w14:paraId="39511DAF" w14:textId="5A2031DB" w:rsidR="0027260E" w:rsidRDefault="0027260E" w:rsidP="0027260E">
      <w:pPr>
        <w:rPr>
          <w:rFonts w:ascii="Arial" w:hAnsi="Arial" w:cs="Arial"/>
          <w:noProof/>
          <w:lang w:eastAsia="es-MX"/>
        </w:rPr>
      </w:pPr>
      <w:r w:rsidRPr="0027260E">
        <w:rPr>
          <w:rFonts w:ascii="Arial" w:hAnsi="Arial" w:cs="Arial"/>
          <w:noProof/>
          <w:lang w:eastAsia="es-MX"/>
        </w:rPr>
        <w:t>A continuación, usaremos el enfoque declarativo para revertir una transacción para las excepciones marcadas enumeradas. La reversión en nuestro ejemplo está en SQLException:</w:t>
      </w:r>
    </w:p>
    <w:p w14:paraId="38F0BE13" w14:textId="29074B50" w:rsidR="0027260E" w:rsidRDefault="0027260E" w:rsidP="0027260E">
      <w:pPr>
        <w:rPr>
          <w:rFonts w:ascii="Arial" w:hAnsi="Arial" w:cs="Arial"/>
          <w:noProof/>
          <w:lang w:eastAsia="es-MX"/>
        </w:rPr>
      </w:pPr>
    </w:p>
    <w:p w14:paraId="17E104BF" w14:textId="24B66E24" w:rsidR="0027260E" w:rsidRDefault="0027260E" w:rsidP="0027260E">
      <w:pPr>
        <w:rPr>
          <w:rFonts w:ascii="Arial" w:hAnsi="Arial" w:cs="Arial"/>
          <w:noProof/>
          <w:lang w:eastAsia="es-MX"/>
        </w:rPr>
      </w:pPr>
      <w:r>
        <w:rPr>
          <w:noProof/>
        </w:rPr>
        <w:drawing>
          <wp:inline distT="0" distB="0" distL="0" distR="0" wp14:anchorId="7DFC8881" wp14:editId="22386EC3">
            <wp:extent cx="6120765" cy="805815"/>
            <wp:effectExtent l="0" t="0" r="0" b="0"/>
            <wp:docPr id="35" name="Imagen 3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con confianza media"/>
                    <pic:cNvPicPr/>
                  </pic:nvPicPr>
                  <pic:blipFill>
                    <a:blip r:embed="rId19"/>
                    <a:stretch>
                      <a:fillRect/>
                    </a:stretch>
                  </pic:blipFill>
                  <pic:spPr>
                    <a:xfrm>
                      <a:off x="0" y="0"/>
                      <a:ext cx="6120765" cy="805815"/>
                    </a:xfrm>
                    <a:prstGeom prst="rect">
                      <a:avLst/>
                    </a:prstGeom>
                  </pic:spPr>
                </pic:pic>
              </a:graphicData>
            </a:graphic>
          </wp:inline>
        </w:drawing>
      </w:r>
    </w:p>
    <w:p w14:paraId="05AC2DE1" w14:textId="77777777" w:rsidR="0027260E" w:rsidRDefault="0027260E" w:rsidP="0027260E">
      <w:pPr>
        <w:rPr>
          <w:rFonts w:ascii="Arial" w:hAnsi="Arial" w:cs="Arial"/>
          <w:noProof/>
          <w:lang w:eastAsia="es-MX"/>
        </w:rPr>
      </w:pPr>
    </w:p>
    <w:p w14:paraId="4E21D51A" w14:textId="2B8B291E" w:rsidR="0027260E" w:rsidRDefault="0027260E" w:rsidP="0027260E">
      <w:pPr>
        <w:rPr>
          <w:rFonts w:ascii="Arial" w:hAnsi="Arial" w:cs="Arial"/>
          <w:noProof/>
          <w:lang w:eastAsia="es-MX"/>
        </w:rPr>
      </w:pPr>
      <w:r w:rsidRPr="0027260E">
        <w:rPr>
          <w:rFonts w:ascii="Arial" w:hAnsi="Arial" w:cs="Arial"/>
          <w:noProof/>
          <w:lang w:eastAsia="es-MX"/>
        </w:rPr>
        <w:t>Veamos un uso simple del atributo noRollbackFor en el enfoque declarativo para evitar la reversión de la transacción para la excepción enumerada:</w:t>
      </w:r>
    </w:p>
    <w:p w14:paraId="14B53BA4" w14:textId="77777777" w:rsidR="0027260E" w:rsidRDefault="0027260E" w:rsidP="0027260E">
      <w:pPr>
        <w:rPr>
          <w:rFonts w:ascii="Arial" w:hAnsi="Arial" w:cs="Arial"/>
          <w:noProof/>
          <w:lang w:eastAsia="es-MX"/>
        </w:rPr>
      </w:pPr>
    </w:p>
    <w:p w14:paraId="14524980" w14:textId="64C91639" w:rsidR="0027260E" w:rsidRDefault="0027260E" w:rsidP="0027260E">
      <w:pPr>
        <w:rPr>
          <w:rFonts w:ascii="Arial" w:hAnsi="Arial" w:cs="Arial"/>
          <w:noProof/>
          <w:lang w:eastAsia="es-MX"/>
        </w:rPr>
      </w:pPr>
      <w:r>
        <w:rPr>
          <w:noProof/>
        </w:rPr>
        <w:drawing>
          <wp:inline distT="0" distB="0" distL="0" distR="0" wp14:anchorId="5EF51DA5" wp14:editId="11B84203">
            <wp:extent cx="6120765" cy="877570"/>
            <wp:effectExtent l="0" t="0" r="0" b="0"/>
            <wp:docPr id="36" name="Imagen 3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Captura de pantalla de un celular&#10;&#10;Descripción generada automáticamente"/>
                    <pic:cNvPicPr/>
                  </pic:nvPicPr>
                  <pic:blipFill>
                    <a:blip r:embed="rId20"/>
                    <a:stretch>
                      <a:fillRect/>
                    </a:stretch>
                  </pic:blipFill>
                  <pic:spPr>
                    <a:xfrm>
                      <a:off x="0" y="0"/>
                      <a:ext cx="6120765" cy="877570"/>
                    </a:xfrm>
                    <a:prstGeom prst="rect">
                      <a:avLst/>
                    </a:prstGeom>
                  </pic:spPr>
                </pic:pic>
              </a:graphicData>
            </a:graphic>
          </wp:inline>
        </w:drawing>
      </w:r>
    </w:p>
    <w:p w14:paraId="11667E33" w14:textId="07BDD0F5" w:rsidR="0027260E" w:rsidRDefault="0027260E" w:rsidP="0027260E">
      <w:pPr>
        <w:rPr>
          <w:rFonts w:ascii="Arial" w:hAnsi="Arial" w:cs="Arial"/>
          <w:noProof/>
          <w:lang w:eastAsia="es-MX"/>
        </w:rPr>
      </w:pPr>
    </w:p>
    <w:p w14:paraId="1805FA55" w14:textId="3861529D" w:rsidR="0027260E" w:rsidRDefault="0027260E" w:rsidP="0027260E">
      <w:pPr>
        <w:rPr>
          <w:rFonts w:ascii="Arial" w:hAnsi="Arial" w:cs="Arial"/>
          <w:noProof/>
          <w:lang w:eastAsia="es-MX"/>
        </w:rPr>
      </w:pPr>
    </w:p>
    <w:p w14:paraId="08AB32AC" w14:textId="2AC39799" w:rsidR="0027260E" w:rsidRDefault="0027260E" w:rsidP="0027260E">
      <w:pPr>
        <w:rPr>
          <w:rFonts w:ascii="Arial" w:hAnsi="Arial" w:cs="Arial"/>
          <w:noProof/>
          <w:lang w:eastAsia="es-MX"/>
        </w:rPr>
      </w:pPr>
    </w:p>
    <w:p w14:paraId="2C9B9B61" w14:textId="68A4A710" w:rsidR="0027260E" w:rsidRDefault="0027260E" w:rsidP="0027260E">
      <w:pPr>
        <w:rPr>
          <w:rFonts w:ascii="Arial" w:hAnsi="Arial" w:cs="Arial"/>
          <w:noProof/>
          <w:lang w:eastAsia="es-MX"/>
        </w:rPr>
      </w:pPr>
    </w:p>
    <w:p w14:paraId="0FA9EDF4" w14:textId="051A54A7" w:rsidR="0027260E" w:rsidRDefault="0027260E" w:rsidP="0027260E">
      <w:pPr>
        <w:rPr>
          <w:rFonts w:ascii="Arial" w:hAnsi="Arial" w:cs="Arial"/>
          <w:noProof/>
          <w:lang w:eastAsia="es-MX"/>
        </w:rPr>
      </w:pPr>
    </w:p>
    <w:p w14:paraId="5E2E482F" w14:textId="5C4560EA" w:rsidR="0027260E" w:rsidRDefault="0027260E" w:rsidP="0027260E">
      <w:pPr>
        <w:rPr>
          <w:rFonts w:ascii="Arial" w:hAnsi="Arial" w:cs="Arial"/>
          <w:noProof/>
          <w:lang w:eastAsia="es-MX"/>
        </w:rPr>
      </w:pPr>
      <w:r w:rsidRPr="0027260E">
        <w:rPr>
          <w:rFonts w:ascii="Arial" w:hAnsi="Arial" w:cs="Arial"/>
          <w:noProof/>
          <w:lang w:eastAsia="es-MX"/>
        </w:rPr>
        <w:t>En el enfoque programático, revertimos las transacciones mediante TransactionAspectSupport:</w:t>
      </w:r>
    </w:p>
    <w:p w14:paraId="6CA3DA48" w14:textId="77777777" w:rsidR="0027260E" w:rsidRDefault="0027260E" w:rsidP="0027260E">
      <w:pPr>
        <w:rPr>
          <w:rFonts w:ascii="Arial" w:hAnsi="Arial" w:cs="Arial"/>
          <w:noProof/>
          <w:lang w:eastAsia="es-MX"/>
        </w:rPr>
      </w:pPr>
    </w:p>
    <w:p w14:paraId="0C127118" w14:textId="06092275" w:rsidR="0027260E" w:rsidRPr="0027260E" w:rsidRDefault="0027260E" w:rsidP="0027260E">
      <w:pPr>
        <w:rPr>
          <w:rFonts w:ascii="Arial" w:hAnsi="Arial" w:cs="Arial"/>
          <w:noProof/>
          <w:lang w:eastAsia="es-MX"/>
        </w:rPr>
      </w:pPr>
      <w:r>
        <w:rPr>
          <w:noProof/>
        </w:rPr>
        <w:drawing>
          <wp:inline distT="0" distB="0" distL="0" distR="0" wp14:anchorId="277B85CC" wp14:editId="06A57C66">
            <wp:extent cx="6120765" cy="1309370"/>
            <wp:effectExtent l="0" t="0" r="0" b="5080"/>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1"/>
                    <a:stretch>
                      <a:fillRect/>
                    </a:stretch>
                  </pic:blipFill>
                  <pic:spPr>
                    <a:xfrm>
                      <a:off x="0" y="0"/>
                      <a:ext cx="6120765" cy="1309370"/>
                    </a:xfrm>
                    <a:prstGeom prst="rect">
                      <a:avLst/>
                    </a:prstGeom>
                  </pic:spPr>
                </pic:pic>
              </a:graphicData>
            </a:graphic>
          </wp:inline>
        </w:drawing>
      </w:r>
    </w:p>
    <w:p w14:paraId="2D9EC3B1" w14:textId="77777777" w:rsidR="005D64E4" w:rsidRDefault="005D64E4" w:rsidP="00051C14">
      <w:pPr>
        <w:rPr>
          <w:rFonts w:ascii="Arial" w:hAnsi="Arial" w:cs="Arial"/>
          <w:b/>
          <w:bCs/>
          <w:noProof/>
          <w:color w:val="6F01EE"/>
          <w:lang w:eastAsia="es-MX"/>
        </w:rPr>
      </w:pPr>
    </w:p>
    <w:p w14:paraId="4A823161" w14:textId="77777777" w:rsidR="0027260E" w:rsidRDefault="0027260E">
      <w:pPr>
        <w:spacing w:after="160" w:line="259" w:lineRule="auto"/>
        <w:rPr>
          <w:rFonts w:ascii="Arial" w:hAnsi="Arial" w:cs="Arial"/>
          <w:b/>
          <w:bCs/>
          <w:color w:val="6F01EE"/>
        </w:rPr>
      </w:pPr>
      <w:r>
        <w:rPr>
          <w:rFonts w:ascii="Arial" w:hAnsi="Arial" w:cs="Arial"/>
          <w:b/>
          <w:bCs/>
          <w:color w:val="6F01EE"/>
        </w:rPr>
        <w:br w:type="page"/>
      </w:r>
    </w:p>
    <w:p w14:paraId="23FA7185" w14:textId="15E342B1" w:rsidR="00226106" w:rsidRDefault="00EC1AC0" w:rsidP="00226106">
      <w:pPr>
        <w:rPr>
          <w:rFonts w:ascii="Arial" w:hAnsi="Arial" w:cs="Arial"/>
          <w:b/>
          <w:bCs/>
          <w:color w:val="6F01EE"/>
        </w:rPr>
      </w:pPr>
      <w:r>
        <w:rPr>
          <w:rFonts w:ascii="Arial" w:hAnsi="Arial" w:cs="Arial"/>
          <w:b/>
          <w:bCs/>
          <w:color w:val="6F01EE"/>
        </w:rPr>
        <w:lastRenderedPageBreak/>
        <w:t>Actividad</w:t>
      </w:r>
      <w:r w:rsidR="00226106" w:rsidRPr="007256E2">
        <w:rPr>
          <w:rFonts w:ascii="Arial" w:hAnsi="Arial" w:cs="Arial"/>
          <w:b/>
          <w:bCs/>
          <w:color w:val="6F01EE"/>
        </w:rPr>
        <w:t>:</w:t>
      </w:r>
    </w:p>
    <w:p w14:paraId="57DF2199" w14:textId="77777777" w:rsidR="00717547" w:rsidRPr="007256E2" w:rsidRDefault="00717547" w:rsidP="00226106">
      <w:pPr>
        <w:rPr>
          <w:rFonts w:ascii="Arial" w:hAnsi="Arial" w:cs="Arial"/>
          <w:b/>
          <w:bCs/>
          <w:color w:val="6F01EE"/>
        </w:rPr>
      </w:pPr>
    </w:p>
    <w:p w14:paraId="4D2A8BC3" w14:textId="77777777"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a)</w:t>
      </w:r>
      <w:r w:rsidRPr="00726120">
        <w:rPr>
          <w:rFonts w:ascii="Arial" w:hAnsi="Arial" w:cs="Arial"/>
          <w:color w:val="000000" w:themeColor="text1"/>
        </w:rPr>
        <w:tab/>
        <w:t>CUESTIONARIO TÉCNICO</w:t>
      </w:r>
    </w:p>
    <w:p w14:paraId="03FE58A4" w14:textId="23D8CFF3"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¿Para qué sirve la anotación @</w:t>
      </w:r>
      <w:r>
        <w:rPr>
          <w:rFonts w:ascii="Arial" w:hAnsi="Arial" w:cs="Arial"/>
          <w:color w:val="000000" w:themeColor="text1"/>
        </w:rPr>
        <w:t>Transactional</w:t>
      </w:r>
      <w:r w:rsidRPr="00A36329">
        <w:rPr>
          <w:rFonts w:ascii="Arial" w:hAnsi="Arial" w:cs="Arial"/>
          <w:color w:val="000000" w:themeColor="text1"/>
        </w:rPr>
        <w:t>?</w:t>
      </w:r>
    </w:p>
    <w:p w14:paraId="4F9B4A4B" w14:textId="240D541C" w:rsidR="00BE6719" w:rsidRPr="00A36329" w:rsidRDefault="00BE6719" w:rsidP="00BE6719">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 xml:space="preserve">¿Qué </w:t>
      </w:r>
      <w:r w:rsidR="00B21EA5">
        <w:rPr>
          <w:rFonts w:ascii="Arial" w:hAnsi="Arial" w:cs="Arial"/>
          <w:color w:val="000000" w:themeColor="text1"/>
        </w:rPr>
        <w:t>tipos de transacciones existen</w:t>
      </w:r>
      <w:r w:rsidRPr="00A36329">
        <w:rPr>
          <w:rFonts w:ascii="Arial" w:hAnsi="Arial" w:cs="Arial"/>
          <w:color w:val="000000" w:themeColor="text1"/>
        </w:rPr>
        <w:t>?</w:t>
      </w:r>
    </w:p>
    <w:p w14:paraId="137DFA5D" w14:textId="123CA2F1"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w:t>
      </w:r>
      <w:r w:rsidR="00B21EA5">
        <w:rPr>
          <w:rFonts w:ascii="Arial" w:hAnsi="Arial" w:cs="Arial"/>
          <w:color w:val="000000" w:themeColor="text1"/>
        </w:rPr>
        <w:t>En qué ocasiones se utiliza la anotación @Transactional</w:t>
      </w:r>
      <w:r w:rsidRPr="00A36329">
        <w:rPr>
          <w:rFonts w:ascii="Arial" w:hAnsi="Arial" w:cs="Arial"/>
          <w:color w:val="000000" w:themeColor="text1"/>
        </w:rPr>
        <w:t>?</w:t>
      </w:r>
    </w:p>
    <w:p w14:paraId="62FA7077" w14:textId="07DBEA92"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Cree un nuevo proyecto con Spring </w:t>
      </w:r>
      <w:proofErr w:type="spellStart"/>
      <w:r w:rsidRPr="00A36329">
        <w:rPr>
          <w:rFonts w:ascii="Arial" w:hAnsi="Arial" w:cs="Arial"/>
          <w:color w:val="000000" w:themeColor="text1"/>
        </w:rPr>
        <w:t>Boot</w:t>
      </w:r>
      <w:proofErr w:type="spellEnd"/>
      <w:r w:rsidRPr="00A36329">
        <w:rPr>
          <w:rFonts w:ascii="Arial" w:hAnsi="Arial" w:cs="Arial"/>
          <w:color w:val="000000" w:themeColor="text1"/>
        </w:rPr>
        <w:t xml:space="preserve"> y realice </w:t>
      </w:r>
      <w:r w:rsidR="00B21EA5">
        <w:rPr>
          <w:rFonts w:ascii="Arial" w:hAnsi="Arial" w:cs="Arial"/>
          <w:color w:val="000000" w:themeColor="text1"/>
        </w:rPr>
        <w:t>dos operaciones utilizando @Transactional</w:t>
      </w:r>
      <w:r w:rsidRPr="00A36329">
        <w:rPr>
          <w:rFonts w:ascii="Arial" w:hAnsi="Arial" w:cs="Arial"/>
          <w:color w:val="000000" w:themeColor="text1"/>
        </w:rPr>
        <w:t>.</w:t>
      </w:r>
    </w:p>
    <w:p w14:paraId="3CB9654A" w14:textId="4ADD051F" w:rsidR="00BE6719" w:rsidRPr="00A36329" w:rsidRDefault="00BE6719" w:rsidP="00BE6719">
      <w:pPr>
        <w:pStyle w:val="Prrafodelista"/>
        <w:numPr>
          <w:ilvl w:val="0"/>
          <w:numId w:val="21"/>
        </w:numPr>
        <w:spacing w:after="160" w:line="259" w:lineRule="auto"/>
        <w:rPr>
          <w:rFonts w:ascii="Arial" w:hAnsi="Arial" w:cs="Arial"/>
          <w:color w:val="000000" w:themeColor="text1"/>
        </w:rPr>
      </w:pPr>
      <w:r w:rsidRPr="00A36329">
        <w:rPr>
          <w:rFonts w:ascii="Arial" w:hAnsi="Arial" w:cs="Arial"/>
          <w:color w:val="000000" w:themeColor="text1"/>
        </w:rPr>
        <w:t xml:space="preserve">En el mismo proyecto </w:t>
      </w:r>
      <w:r w:rsidR="00B21EA5">
        <w:rPr>
          <w:rFonts w:ascii="Arial" w:hAnsi="Arial" w:cs="Arial"/>
          <w:color w:val="000000" w:themeColor="text1"/>
        </w:rPr>
        <w:t xml:space="preserve">agregue la propiedad </w:t>
      </w:r>
      <w:proofErr w:type="spellStart"/>
      <w:r w:rsidR="00B21EA5">
        <w:rPr>
          <w:rFonts w:ascii="Arial" w:hAnsi="Arial" w:cs="Arial"/>
          <w:color w:val="000000" w:themeColor="text1"/>
        </w:rPr>
        <w:t>roolback</w:t>
      </w:r>
      <w:proofErr w:type="spellEnd"/>
      <w:r w:rsidR="00B21EA5">
        <w:rPr>
          <w:rFonts w:ascii="Arial" w:hAnsi="Arial" w:cs="Arial"/>
          <w:color w:val="000000" w:themeColor="text1"/>
        </w:rPr>
        <w:t xml:space="preserve"> en cada una de las operaciones</w:t>
      </w:r>
      <w:r w:rsidRPr="00A36329">
        <w:rPr>
          <w:rFonts w:ascii="Arial" w:hAnsi="Arial" w:cs="Arial"/>
          <w:color w:val="000000" w:themeColor="text1"/>
        </w:rPr>
        <w:t xml:space="preserve">. </w:t>
      </w:r>
    </w:p>
    <w:p w14:paraId="4A4AEF5D" w14:textId="124F3704" w:rsidR="00A36329" w:rsidRDefault="00A36329" w:rsidP="00726120">
      <w:pPr>
        <w:spacing w:after="160" w:line="259" w:lineRule="auto"/>
        <w:rPr>
          <w:rFonts w:ascii="Arial" w:hAnsi="Arial" w:cs="Arial"/>
          <w:color w:val="000000" w:themeColor="text1"/>
        </w:rPr>
      </w:pPr>
    </w:p>
    <w:p w14:paraId="22B90EA5" w14:textId="005A0111" w:rsidR="00726120" w:rsidRPr="0072612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b)</w:t>
      </w:r>
      <w:r w:rsidRPr="00726120">
        <w:rPr>
          <w:rFonts w:ascii="Arial" w:hAnsi="Arial" w:cs="Arial"/>
          <w:color w:val="000000" w:themeColor="text1"/>
        </w:rPr>
        <w:tab/>
        <w:t>CONCLUSIONES DE LA EXPERIENCIA</w:t>
      </w:r>
    </w:p>
    <w:p w14:paraId="281B9CF4" w14:textId="3C8A54FA" w:rsidR="00726120" w:rsidRPr="00C26730" w:rsidRDefault="00726120" w:rsidP="00726120">
      <w:pPr>
        <w:spacing w:after="160" w:line="259" w:lineRule="auto"/>
        <w:rPr>
          <w:rFonts w:ascii="Arial" w:hAnsi="Arial" w:cs="Arial"/>
          <w:color w:val="000000" w:themeColor="text1"/>
        </w:rPr>
      </w:pPr>
      <w:r w:rsidRPr="00726120">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Pr>
          <w:rFonts w:ascii="Arial" w:hAnsi="Arial" w:cs="Arial"/>
          <w:color w:val="000000" w:themeColor="text1"/>
        </w:rPr>
        <w:t>___</w:t>
      </w:r>
    </w:p>
    <w:sectPr w:rsidR="00726120" w:rsidRPr="00C26730" w:rsidSect="00BA5D73">
      <w:headerReference w:type="default" r:id="rId22"/>
      <w:footerReference w:type="default" r:id="rId23"/>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B7D09" w14:textId="77777777" w:rsidR="00B251F2" w:rsidRDefault="00B251F2" w:rsidP="00DD7CB3">
      <w:r>
        <w:separator/>
      </w:r>
    </w:p>
  </w:endnote>
  <w:endnote w:type="continuationSeparator" w:id="0">
    <w:p w14:paraId="4EDAE8EB" w14:textId="77777777" w:rsidR="00B251F2" w:rsidRDefault="00B251F2"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86C82429-6076-4693-AEB6-1C32722BA09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EA92879A-42A6-40C9-A014-194FE01E37B0}"/>
    <w:embedBold r:id="rId3" w:fontKey="{64F91439-12F3-4A0C-B21F-C4F96C693203}"/>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B251F2"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1AEDE" w14:textId="77777777" w:rsidR="00B251F2" w:rsidRDefault="00B251F2" w:rsidP="00DD7CB3">
      <w:r>
        <w:separator/>
      </w:r>
    </w:p>
  </w:footnote>
  <w:footnote w:type="continuationSeparator" w:id="0">
    <w:p w14:paraId="693B49FC" w14:textId="77777777" w:rsidR="00B251F2" w:rsidRDefault="00B251F2"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294A972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E40ABB">
                            <w:rPr>
                              <w:rFonts w:ascii="Stag Book" w:hAnsi="Stag Book" w:cs="Arial"/>
                              <w:sz w:val="16"/>
                              <w:szCs w:val="16"/>
                              <w:lang w:val="es-ES"/>
                              <w14:textOutline w14:w="9525" w14:cap="rnd" w14:cmpd="sng" w14:algn="ctr">
                                <w14:noFill/>
                                <w14:prstDash w14:val="solid"/>
                                <w14:bevel/>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294A972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E40ABB">
                      <w:rPr>
                        <w:rFonts w:ascii="Stag Book" w:hAnsi="Stag Book" w:cs="Arial"/>
                        <w:sz w:val="16"/>
                        <w:szCs w:val="16"/>
                        <w:lang w:val="es-ES"/>
                        <w14:textOutline w14:w="9525" w14:cap="rnd" w14:cmpd="sng" w14:algn="ctr">
                          <w14:noFill/>
                          <w14:prstDash w14:val="solid"/>
                          <w14:bevel/>
                        </w14:textOutline>
                      </w:rPr>
                      <w:t>6</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1"/>
  </w:num>
  <w:num w:numId="4">
    <w:abstractNumId w:val="17"/>
  </w:num>
  <w:num w:numId="5">
    <w:abstractNumId w:val="9"/>
  </w:num>
  <w:num w:numId="6">
    <w:abstractNumId w:val="10"/>
  </w:num>
  <w:num w:numId="7">
    <w:abstractNumId w:val="2"/>
  </w:num>
  <w:num w:numId="8">
    <w:abstractNumId w:val="12"/>
  </w:num>
  <w:num w:numId="9">
    <w:abstractNumId w:val="19"/>
  </w:num>
  <w:num w:numId="10">
    <w:abstractNumId w:val="7"/>
  </w:num>
  <w:num w:numId="11">
    <w:abstractNumId w:val="4"/>
  </w:num>
  <w:num w:numId="12">
    <w:abstractNumId w:val="16"/>
  </w:num>
  <w:num w:numId="13">
    <w:abstractNumId w:val="22"/>
  </w:num>
  <w:num w:numId="14">
    <w:abstractNumId w:val="1"/>
  </w:num>
  <w:num w:numId="15">
    <w:abstractNumId w:val="13"/>
  </w:num>
  <w:num w:numId="16">
    <w:abstractNumId w:val="0"/>
  </w:num>
  <w:num w:numId="17">
    <w:abstractNumId w:val="3"/>
  </w:num>
  <w:num w:numId="18">
    <w:abstractNumId w:val="18"/>
  </w:num>
  <w:num w:numId="19">
    <w:abstractNumId w:val="5"/>
  </w:num>
  <w:num w:numId="20">
    <w:abstractNumId w:val="14"/>
  </w:num>
  <w:num w:numId="21">
    <w:abstractNumId w:val="23"/>
  </w:num>
  <w:num w:numId="22">
    <w:abstractNumId w:val="15"/>
  </w:num>
  <w:num w:numId="23">
    <w:abstractNumId w:val="8"/>
  </w:num>
  <w:num w:numId="24">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77D8"/>
    <w:rsid w:val="00026AD3"/>
    <w:rsid w:val="000348B8"/>
    <w:rsid w:val="00051C14"/>
    <w:rsid w:val="00052A96"/>
    <w:rsid w:val="00071F35"/>
    <w:rsid w:val="00076119"/>
    <w:rsid w:val="000A619A"/>
    <w:rsid w:val="000C6A0E"/>
    <w:rsid w:val="001119A0"/>
    <w:rsid w:val="0011614B"/>
    <w:rsid w:val="00124BC0"/>
    <w:rsid w:val="00132FD0"/>
    <w:rsid w:val="00160CCC"/>
    <w:rsid w:val="001C24A3"/>
    <w:rsid w:val="001E5358"/>
    <w:rsid w:val="001F5CDC"/>
    <w:rsid w:val="00203852"/>
    <w:rsid w:val="0020768D"/>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318C"/>
    <w:rsid w:val="00394849"/>
    <w:rsid w:val="00396034"/>
    <w:rsid w:val="003B3719"/>
    <w:rsid w:val="003B5175"/>
    <w:rsid w:val="003D0ADD"/>
    <w:rsid w:val="003E57EA"/>
    <w:rsid w:val="003E64AD"/>
    <w:rsid w:val="00403F4C"/>
    <w:rsid w:val="0040497E"/>
    <w:rsid w:val="00406F0F"/>
    <w:rsid w:val="00432ECD"/>
    <w:rsid w:val="00440686"/>
    <w:rsid w:val="00440A60"/>
    <w:rsid w:val="00445701"/>
    <w:rsid w:val="00460E41"/>
    <w:rsid w:val="0046483D"/>
    <w:rsid w:val="004A37D5"/>
    <w:rsid w:val="004B7BF9"/>
    <w:rsid w:val="004D6489"/>
    <w:rsid w:val="004D777D"/>
    <w:rsid w:val="00525385"/>
    <w:rsid w:val="005375F7"/>
    <w:rsid w:val="00537E43"/>
    <w:rsid w:val="0054173F"/>
    <w:rsid w:val="005504EA"/>
    <w:rsid w:val="0056679D"/>
    <w:rsid w:val="00574375"/>
    <w:rsid w:val="005A08BC"/>
    <w:rsid w:val="005C4106"/>
    <w:rsid w:val="005C5185"/>
    <w:rsid w:val="005D64E4"/>
    <w:rsid w:val="005E74F3"/>
    <w:rsid w:val="005F413D"/>
    <w:rsid w:val="00612095"/>
    <w:rsid w:val="00625811"/>
    <w:rsid w:val="00643BE0"/>
    <w:rsid w:val="00652799"/>
    <w:rsid w:val="00656F1E"/>
    <w:rsid w:val="0065727F"/>
    <w:rsid w:val="00683020"/>
    <w:rsid w:val="006B4E68"/>
    <w:rsid w:val="006C37AD"/>
    <w:rsid w:val="006D5F9F"/>
    <w:rsid w:val="006D74EB"/>
    <w:rsid w:val="006E40D5"/>
    <w:rsid w:val="006F45D2"/>
    <w:rsid w:val="00717547"/>
    <w:rsid w:val="007256E2"/>
    <w:rsid w:val="00726120"/>
    <w:rsid w:val="00726E81"/>
    <w:rsid w:val="00736AE9"/>
    <w:rsid w:val="00745DF3"/>
    <w:rsid w:val="00761F0A"/>
    <w:rsid w:val="007B337F"/>
    <w:rsid w:val="007B41C2"/>
    <w:rsid w:val="007D4B36"/>
    <w:rsid w:val="0083156D"/>
    <w:rsid w:val="0083292F"/>
    <w:rsid w:val="008668C7"/>
    <w:rsid w:val="008726A5"/>
    <w:rsid w:val="00885058"/>
    <w:rsid w:val="008C598E"/>
    <w:rsid w:val="00907B23"/>
    <w:rsid w:val="00912C4A"/>
    <w:rsid w:val="00931A12"/>
    <w:rsid w:val="009605FF"/>
    <w:rsid w:val="00973DA5"/>
    <w:rsid w:val="009B0A4B"/>
    <w:rsid w:val="009B6A04"/>
    <w:rsid w:val="009F406C"/>
    <w:rsid w:val="00A00EC6"/>
    <w:rsid w:val="00A35C1A"/>
    <w:rsid w:val="00A36329"/>
    <w:rsid w:val="00A63CF0"/>
    <w:rsid w:val="00A724AF"/>
    <w:rsid w:val="00A751A3"/>
    <w:rsid w:val="00A865C9"/>
    <w:rsid w:val="00AA081E"/>
    <w:rsid w:val="00AB00B4"/>
    <w:rsid w:val="00AD6B5C"/>
    <w:rsid w:val="00B00824"/>
    <w:rsid w:val="00B21EA5"/>
    <w:rsid w:val="00B251F2"/>
    <w:rsid w:val="00B263A1"/>
    <w:rsid w:val="00B44EFB"/>
    <w:rsid w:val="00B56E28"/>
    <w:rsid w:val="00B56EE1"/>
    <w:rsid w:val="00B57A70"/>
    <w:rsid w:val="00BA5D73"/>
    <w:rsid w:val="00BB207E"/>
    <w:rsid w:val="00BE6719"/>
    <w:rsid w:val="00BF5C43"/>
    <w:rsid w:val="00C1371E"/>
    <w:rsid w:val="00C1750C"/>
    <w:rsid w:val="00C26730"/>
    <w:rsid w:val="00C27F52"/>
    <w:rsid w:val="00C37B4A"/>
    <w:rsid w:val="00C52587"/>
    <w:rsid w:val="00C53A29"/>
    <w:rsid w:val="00C634A5"/>
    <w:rsid w:val="00C92128"/>
    <w:rsid w:val="00CB66FF"/>
    <w:rsid w:val="00CD1E1C"/>
    <w:rsid w:val="00CE74A6"/>
    <w:rsid w:val="00D173E2"/>
    <w:rsid w:val="00D762B3"/>
    <w:rsid w:val="00D7657E"/>
    <w:rsid w:val="00DA0148"/>
    <w:rsid w:val="00DB67FB"/>
    <w:rsid w:val="00DC04A8"/>
    <w:rsid w:val="00DD7CB3"/>
    <w:rsid w:val="00DE1376"/>
    <w:rsid w:val="00DF5485"/>
    <w:rsid w:val="00E26D6A"/>
    <w:rsid w:val="00E30864"/>
    <w:rsid w:val="00E40ABB"/>
    <w:rsid w:val="00E65F0C"/>
    <w:rsid w:val="00E66371"/>
    <w:rsid w:val="00E83472"/>
    <w:rsid w:val="00EA6E00"/>
    <w:rsid w:val="00EA72F6"/>
    <w:rsid w:val="00EC1AC0"/>
    <w:rsid w:val="00EC43D1"/>
    <w:rsid w:val="00EC62FB"/>
    <w:rsid w:val="00ED77C0"/>
    <w:rsid w:val="00EE2E23"/>
    <w:rsid w:val="00EF4705"/>
    <w:rsid w:val="00F05205"/>
    <w:rsid w:val="00F0521D"/>
    <w:rsid w:val="00F25629"/>
    <w:rsid w:val="00F35B35"/>
    <w:rsid w:val="00F41D76"/>
    <w:rsid w:val="00F50E54"/>
    <w:rsid w:val="00F514A6"/>
    <w:rsid w:val="00F51A1D"/>
    <w:rsid w:val="00F64F28"/>
    <w:rsid w:val="00FA5F90"/>
    <w:rsid w:val="00FA779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customXml/item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2199F984-110F-4686-8E6C-7438BEABC7AE}"/>
</file>

<file path=customXml/itemProps3.xml><?xml version="1.0" encoding="utf-8"?>
<ds:datastoreItem xmlns:ds="http://schemas.openxmlformats.org/officeDocument/2006/customXml" ds:itemID="{B3A533B0-E4E4-40D7-BEF0-6B62854AC344}"/>
</file>

<file path=customXml/itemProps4.xml><?xml version="1.0" encoding="utf-8"?>
<ds:datastoreItem xmlns:ds="http://schemas.openxmlformats.org/officeDocument/2006/customXml" ds:itemID="{9D5A4069-3B5E-413D-8B25-34680769B631}"/>
</file>

<file path=docProps/app.xml><?xml version="1.0" encoding="utf-8"?>
<Properties xmlns="http://schemas.openxmlformats.org/officeDocument/2006/extended-properties" xmlns:vt="http://schemas.openxmlformats.org/officeDocument/2006/docPropsVTypes">
  <Template>Normal.dotm</Template>
  <TotalTime>452</TotalTime>
  <Pages>9</Pages>
  <Words>1833</Words>
  <Characters>10086</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77</cp:revision>
  <dcterms:created xsi:type="dcterms:W3CDTF">2021-05-26T01:34:00Z</dcterms:created>
  <dcterms:modified xsi:type="dcterms:W3CDTF">2021-08-02T21:29:00Z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