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E87" w:rsidRDefault="00602E87" w:rsidP="00602E87">
      <w:pPr>
        <w:pStyle w:val="aff9"/>
        <w:spacing w:before="0" w:beforeAutospacing="0" w:after="0" w:afterAutospacing="0"/>
        <w:ind w:right="-143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line="240" w:lineRule="auto"/>
        <w:ind w:firstLine="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Образовательная программа </w:t>
      </w:r>
      <w:r>
        <w:t>Мобильные и сетевые технологии</w:t>
      </w:r>
      <w:r>
        <w:rPr>
          <w:b/>
          <w:bCs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Направление подготовки </w:t>
      </w:r>
      <w:r>
        <w:t>09.03.03 Прикладная информатика  </w:t>
      </w:r>
    </w:p>
    <w:p w:rsidR="00602E87" w:rsidRDefault="00602E87" w:rsidP="00602E87">
      <w:pPr>
        <w:pStyle w:val="aff9"/>
        <w:spacing w:before="1080" w:beforeAutospacing="0" w:after="0" w:afterAutospacing="0"/>
        <w:jc w:val="center"/>
      </w:pPr>
      <w:r>
        <w:rPr>
          <w:b/>
          <w:sz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sz w:val="28"/>
        </w:rPr>
        <w:t>по лабораторной работе № 4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по дисциплине «Автоматическая обработка текста»</w:t>
      </w:r>
    </w:p>
    <w:p w:rsidR="00602E87" w:rsidRDefault="00602E87" w:rsidP="00602E87">
      <w:pPr>
        <w:pStyle w:val="aff9"/>
        <w:spacing w:before="360" w:beforeAutospacing="0" w:after="0" w:afterAutospacing="0"/>
        <w:jc w:val="both"/>
      </w:pPr>
      <w:r>
        <w:rPr>
          <w:sz w:val="28"/>
        </w:rPr>
        <w:t>Тема: «Промпт как программа»</w:t>
      </w:r>
    </w:p>
    <w:p w:rsidR="00602E87" w:rsidRDefault="00602E87" w:rsidP="00602E87">
      <w:pPr>
        <w:pStyle w:val="aff9"/>
        <w:spacing w:before="1240" w:beforeAutospacing="0" w:after="0" w:afterAutospacing="0"/>
        <w:jc w:val="both"/>
      </w:pPr>
      <w:r>
        <w:rPr>
          <w:sz w:val="28"/>
        </w:rPr>
        <w:t>Обучающийся: Дущенко Даниил Александрович, К3341</w:t>
      </w:r>
    </w:p>
    <w:p w:rsidR="00602E87" w:rsidRDefault="00602E87" w:rsidP="00602E87">
      <w:pPr>
        <w:pStyle w:val="aff9"/>
        <w:spacing w:before="320" w:beforeAutospacing="0" w:after="0" w:afterAutospacing="0"/>
        <w:jc w:val="both"/>
      </w:pPr>
      <w:r>
        <w:rPr>
          <w:sz w:val="28"/>
        </w:rPr>
        <w:t>Преподаватель: Гусарова Наталия Федоровна</w:t>
      </w:r>
    </w:p>
    <w:p w:rsidR="00602E87" w:rsidRDefault="00602E87" w:rsidP="00602E87">
      <w:pPr>
        <w:pStyle w:val="aff9"/>
        <w:spacing w:before="1920" w:beforeAutospacing="0" w:after="0" w:afterAutospacing="0"/>
        <w:jc w:val="center"/>
      </w:pPr>
      <w:r>
        <w:rPr>
          <w:sz w:val="28"/>
        </w:rPr>
        <w:t>Санкт-Петербург</w:t>
      </w:r>
    </w:p>
    <w:p w:rsidR="00A77784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2026</w:t>
      </w:r>
    </w:p>
    <w:p w:rsidR="00E975F0" w:rsidRDefault="007E32CC">
      <w:pPr>
        <w:keepNext/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7E32CC" w:rsidRDefault="007E32C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532664" w:history="1">
        <w:r w:rsidRPr="000E6C8D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65" w:history="1">
        <w:r w:rsidRPr="000E6C8D">
          <w:rPr>
            <w:rStyle w:val="aff8"/>
            <w:rFonts w:eastAsiaTheme="majorEastAsia"/>
            <w:noProof/>
          </w:rPr>
          <w:t>1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66" w:history="1">
        <w:r w:rsidRPr="000E6C8D">
          <w:rPr>
            <w:rStyle w:val="aff8"/>
            <w:rFonts w:eastAsiaTheme="majorEastAsia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67" w:history="1">
        <w:r w:rsidRPr="000E6C8D">
          <w:rPr>
            <w:rStyle w:val="aff8"/>
            <w:rFonts w:eastAsiaTheme="majorEastAsia"/>
            <w:noProof/>
          </w:rPr>
          <w:t>2.1 Этап подготовки данных и эталона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68" w:history="1">
        <w:r w:rsidRPr="000E6C8D">
          <w:rPr>
            <w:rStyle w:val="aff8"/>
            <w:rFonts w:eastAsiaTheme="majorEastAsia"/>
            <w:noProof/>
          </w:rPr>
          <w:t>2.2 Задание 1 и 2. Две версии промпта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69" w:history="1">
        <w:r w:rsidRPr="000E6C8D">
          <w:rPr>
            <w:rStyle w:val="aff8"/>
            <w:rFonts w:eastAsiaTheme="majorEastAsia"/>
            <w:noProof/>
          </w:rPr>
          <w:t>2.3 Задание 3–5. Схема, доказательства и повтор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70" w:history="1">
        <w:r w:rsidRPr="000E6C8D">
          <w:rPr>
            <w:rStyle w:val="aff8"/>
            <w:rFonts w:eastAsiaTheme="majorEastAsia"/>
            <w:noProof/>
          </w:rPr>
          <w:t>2.4 Задание 6. Автоматические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71" w:history="1">
        <w:r w:rsidRPr="000E6C8D">
          <w:rPr>
            <w:rStyle w:val="aff8"/>
            <w:rFonts w:eastAsiaTheme="majorEastAsia"/>
            <w:noProof/>
          </w:rPr>
          <w:t>2.5 Задание 7. Сравнение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72" w:history="1">
        <w:r w:rsidRPr="000E6C8D">
          <w:rPr>
            <w:rStyle w:val="aff8"/>
            <w:rFonts w:eastAsiaTheme="majorEastAsia"/>
            <w:noProof/>
          </w:rPr>
          <w:t>2.6 Этап анализа пяти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73" w:history="1">
        <w:r w:rsidRPr="000E6C8D">
          <w:rPr>
            <w:rStyle w:val="aff8"/>
            <w:rFonts w:eastAsiaTheme="majorEastAsia"/>
            <w:noProof/>
          </w:rPr>
          <w:t>2.7 Дополнительная проверка эталона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74" w:history="1">
        <w:r w:rsidRPr="000E6C8D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E32CC" w:rsidRDefault="007E32C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675" w:history="1">
        <w:r w:rsidRPr="000E6C8D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975F0" w:rsidRDefault="007E32CC">
      <w:pPr>
        <w:ind w:firstLine="0"/>
      </w:pPr>
      <w:r>
        <w:fldChar w:fldCharType="end"/>
      </w:r>
    </w:p>
    <w:p w:rsidR="00E975F0" w:rsidRDefault="007E32CC">
      <w:pPr>
        <w:pStyle w:val="1"/>
        <w:keepNext/>
        <w:pageBreakBefore/>
        <w:spacing w:after="240"/>
        <w:ind w:firstLine="0"/>
        <w:jc w:val="center"/>
      </w:pPr>
      <w:bookmarkStart w:id="1" w:name="_Toc240532664"/>
      <w:r>
        <w:lastRenderedPageBreak/>
        <w:t>ВВЕДЕНИЕ</w:t>
      </w:r>
      <w:bookmarkEnd w:id="1"/>
    </w:p>
    <w:p w:rsidR="00E975F0" w:rsidRDefault="007E32CC">
      <w:r>
        <w:t xml:space="preserve">Цель — построить проверяемый интерфейс извлечения названий препаратов, </w:t>
      </w:r>
      <w:r>
        <w:t>показаний, положительных эффектов, нежелательных реакций и подтверждающих цитат. Проверяется не медицинская эффективность средств, а соответствие результата тексту отзыва. Система должна различать синтаксическую правильность JSON, соблюдение формальной схе</w:t>
      </w:r>
      <w:r>
        <w:t>мы и фактическую обоснованность извлечений: эти свойства не равнозначны.</w:t>
      </w:r>
    </w:p>
    <w:p w:rsidR="00E975F0" w:rsidRDefault="007E32CC">
      <w:pPr>
        <w:pStyle w:val="1"/>
        <w:keepNext/>
        <w:pageBreakBefore/>
        <w:spacing w:after="240"/>
        <w:jc w:val="left"/>
      </w:pPr>
      <w:bookmarkStart w:id="2" w:name="_Toc240532665"/>
      <w:r>
        <w:lastRenderedPageBreak/>
        <w:t>1 Задание</w:t>
      </w:r>
      <w:bookmarkEnd w:id="2"/>
    </w:p>
    <w:p w:rsidR="00E975F0" w:rsidRDefault="007E32CC">
      <w:r>
        <w:t>1. Подготовить простой промпт version_1 без примеров.</w:t>
      </w:r>
    </w:p>
    <w:p w:rsidR="00E975F0" w:rsidRDefault="007E32CC">
      <w:r>
        <w:t>2. В version_2 уточнить поля, отрицания и добавить два размеченных примера.</w:t>
      </w:r>
    </w:p>
    <w:p w:rsidR="00E975F0" w:rsidRDefault="007E32CC">
      <w:r>
        <w:t xml:space="preserve">3. Описать выходную схему через Pydantic и </w:t>
      </w:r>
      <w:r>
        <w:t>проверить структуру.</w:t>
      </w:r>
    </w:p>
    <w:p w:rsidR="00E975F0" w:rsidRDefault="007E32CC">
      <w:r>
        <w:t>4. Проверять дословное присутствие каждого evidence в исходном тексте.</w:t>
      </w:r>
    </w:p>
    <w:p w:rsidR="00E975F0" w:rsidRDefault="007E32CC">
      <w:r>
        <w:t>5. При невалидном ответе разрешить ровно один повтор с описанием ошибки.</w:t>
      </w:r>
    </w:p>
    <w:p w:rsidR="00E975F0" w:rsidRDefault="007E32CC">
      <w:r>
        <w:t>6. Реализовать автоматические тесты для десяти обязательных случаев.</w:t>
      </w:r>
    </w:p>
    <w:p w:rsidR="00E975F0" w:rsidRDefault="007E32CC">
      <w:r>
        <w:t xml:space="preserve">7. Сравнить версии по </w:t>
      </w:r>
      <w:r>
        <w:t>валидности, качеству извлечения и неподтверждённым результатам; разобрать пять ошибок.</w:t>
      </w:r>
    </w:p>
    <w:p w:rsidR="00E975F0" w:rsidRDefault="007E32CC">
      <w:pPr>
        <w:pStyle w:val="1"/>
        <w:keepNext/>
        <w:pageBreakBefore/>
        <w:spacing w:after="240"/>
        <w:jc w:val="left"/>
      </w:pPr>
      <w:bookmarkStart w:id="3" w:name="_Toc240532666"/>
      <w:r>
        <w:lastRenderedPageBreak/>
        <w:t>2 Ход работы</w:t>
      </w:r>
      <w:bookmarkEnd w:id="3"/>
    </w:p>
    <w:p w:rsidR="00E975F0" w:rsidRDefault="007E32CC">
      <w:pPr>
        <w:pStyle w:val="21"/>
        <w:keepNext/>
        <w:spacing w:before="240" w:after="240"/>
        <w:jc w:val="left"/>
      </w:pPr>
      <w:bookmarkStart w:id="4" w:name="_Toc240532667"/>
      <w:r>
        <w:t>2.1 Этап подготовки данных и эталона</w:t>
      </w:r>
      <w:bookmarkEnd w:id="4"/>
    </w:p>
    <w:p w:rsidR="00E975F0" w:rsidRDefault="007E32CC">
      <w:r>
        <w:t>Я использовал размеченную часть RuDReC: 500 отзывов, представленных построчно на уровне предложений [1]. Я объединил пр</w:t>
      </w:r>
      <w:r>
        <w:t>едложения по file_name в порядке sentence_id. В эксперимент вошли 50 самых коротких полных отзывов; при равной длине использован порядок идентификаторов. Это воспроизводимый экономичный отбор без случайного выбора удачных примеров, однако он смещает оценку</w:t>
      </w:r>
      <w:r>
        <w:t xml:space="preserve"> к коротким сообщениям и не позволяет переносить результат на весь корпус.</w:t>
      </w:r>
    </w:p>
    <w:p w:rsidR="00E975F0" w:rsidRDefault="007E32CC">
      <w:r>
        <w:t>Я взял эталон из Drugname, DI и ADR исходного корпуса и адаптировал его к полям задания. Положительные эффекты добавлены после чтения всех 50 текстов; гипотетические, процитированны</w:t>
      </w:r>
      <w:r>
        <w:t>е и отрицаемые реакции обработаны согласно инструкции. Явные изменения зафиксированы в prepare.py. Такая адаптация не является независимой экспертной или медицинской проверкой. Файл и его SHA256 сохранены до первого запроса; runner проверяет неизменность э</w:t>
      </w:r>
      <w:r>
        <w:t>талона. Эталон не исправлялся по ответам модели.</w:t>
      </w:r>
    </w:p>
    <w:p w:rsidR="00E975F0" w:rsidRDefault="007E32CC">
      <w:pPr>
        <w:pStyle w:val="21"/>
        <w:keepNext/>
        <w:spacing w:before="240" w:after="240"/>
        <w:jc w:val="left"/>
      </w:pPr>
      <w:bookmarkStart w:id="5" w:name="_Toc240532668"/>
      <w:r>
        <w:t>2.2 Задание 1 и 2. Две версии промпта</w:t>
      </w:r>
      <w:bookmarkEnd w:id="5"/>
    </w:p>
    <w:p w:rsidR="00E975F0" w:rsidRDefault="007E32CC">
      <w:r>
        <w:t>version_1 содержит короткую инструкцию без примеров. version_2 определяет каждое поле, требует сохранять написание названий, различать показания и реакции, не считать от</w:t>
      </w:r>
      <w:r>
        <w:t>рицание и ожидание достигнутым эффектом. Два размеченных примера демонстрируют опечатку, частичный результат, отрицание и чужую цитату. Наблюдение автора о ребенке допустимо как описание конкретного пациента; пересказ чужого отзыва не принимается за собств</w:t>
      </w:r>
      <w:r>
        <w:t>енное наблюдение.</w:t>
      </w:r>
    </w:p>
    <w:p w:rsidR="00E975F0" w:rsidRDefault="007E32CC">
      <w:pPr>
        <w:pStyle w:val="21"/>
        <w:keepNext/>
        <w:spacing w:before="240" w:after="240"/>
        <w:jc w:val="left"/>
      </w:pPr>
      <w:bookmarkStart w:id="6" w:name="_Toc240532669"/>
      <w:r>
        <w:lastRenderedPageBreak/>
        <w:t>2.3 Задание 3–5. Схема, доказательства и повтор</w:t>
      </w:r>
      <w:bookmarkEnd w:id="6"/>
    </w:p>
    <w:p w:rsidR="00E975F0" w:rsidRDefault="007E32CC">
      <w:r>
        <w:t>Pydantic запрещает лишние поля, пропущенные поля и значения неверного типа. Каждый evidence должен быть непустой дословной подстрокой текста. version_2 дополнительно требует, чтобы каждое из</w:t>
      </w:r>
      <w:r>
        <w:t>влеченное значение входило в одну из подтверждающих цитат. После ошибки отправляется ровно один запрос с ее описанием. Если повтор также невалиден, результат отклоняется; третьего запроса нет. Исходные ответы и ошибки сохраняются, поэтому повтор можно пров</w:t>
      </w:r>
      <w:r>
        <w:t>ерить по журналу.</w:t>
      </w:r>
    </w:p>
    <w:p w:rsidR="00E975F0" w:rsidRDefault="007E32CC">
      <w:r>
        <w:t xml:space="preserve">Использована одна локальная mistralai/ministral-3-14b-reasoning через LM Studio: temperature=0, seed=42, max_tokens=2048. В обеих версиях заранее включено одинаковое ограничение JSON-schema при декодировании. Поэтому сравнение валидности </w:t>
      </w:r>
      <w:r>
        <w:t>относится к системе с ограниченным декодированием, а не к свободной генерации; высокий результат по JSON сам по себе не доказывает преимущество расширенного промпта. Промпты не изменялись во время прогона.</w:t>
      </w:r>
    </w:p>
    <w:p w:rsidR="00E975F0" w:rsidRDefault="007E32CC">
      <w:pPr>
        <w:pStyle w:val="21"/>
        <w:keepNext/>
        <w:spacing w:before="240" w:after="240"/>
        <w:jc w:val="left"/>
      </w:pPr>
      <w:bookmarkStart w:id="7" w:name="_Toc240532670"/>
      <w:r>
        <w:t>2.4 Задание 6. Автоматические тесты</w:t>
      </w:r>
      <w:bookmarkEnd w:id="7"/>
    </w:p>
    <w:p w:rsidR="00E975F0" w:rsidRDefault="007E32CC">
      <w:r>
        <w:t>Выполнены 28 p</w:t>
      </w:r>
      <w:r>
        <w:t>ytest-проверок, включая целостность gold, восстановление полных отзывов и восемь проверок сохраненных ответов настоящей LLM. Восемь обязательных содержательных случаев проверяют прием корректных контрактов на тестовом backend: пустой текст, отсутствие назв</w:t>
      </w:r>
      <w:r>
        <w:t>ания, несколько препаратов, отрицание, предположение, реакция у другого пациента, цитата, опечатка. Отдельные тесты проверяют лишнее поле, выдуманную цитату, строгие типы, регистр, пустую цитату, покрытие извлечений и остановку после одного повтора. Эти те</w:t>
      </w:r>
      <w:r>
        <w:t>сты не подменяют измерение способности LLM понимать текст. Дополнительно те же восемь содержательных ситуаций реально отправлены модели: пройдено 8 из 8 проверок; ответы находятся в behavioral.jsonl.</w:t>
      </w:r>
    </w:p>
    <w:p w:rsidR="00E975F0" w:rsidRDefault="007E32CC">
      <w:pPr>
        <w:pStyle w:val="21"/>
        <w:keepNext/>
        <w:spacing w:before="240" w:after="240"/>
        <w:jc w:val="left"/>
      </w:pPr>
      <w:bookmarkStart w:id="8" w:name="_Toc240532671"/>
      <w:r>
        <w:lastRenderedPageBreak/>
        <w:t>2.5 Задание 7. Сравнение версий</w:t>
      </w:r>
      <w:bookmarkEnd w:id="8"/>
    </w:p>
    <w:p w:rsidR="00E975F0" w:rsidRDefault="007E32CC">
      <w:r>
        <w:t>Качество — micro precisi</w:t>
      </w:r>
      <w:r>
        <w:t>on/recall/F1 по уникальным парам «поле, словесный токен» внутри каждого отзыва. Слова приводятся к нижнему регистру без лемматизации. Невалидный итог считается пустым извлечением. Метрика частично допускает разные границы фразы, но штрафует изменение оконч</w:t>
      </w:r>
      <w:r>
        <w:t>аний и лишние пояснения; она не эквивалентна оценке медицинской корректности. Неподтвержденное значение в автоматическом счетчике — строка, не встречающаяся в тексте. Это поверхностный индикатор: корректный пересказ тоже может попасть в него, а ошибочная и</w:t>
      </w:r>
      <w:r>
        <w:t>нтерпретация настоящей цитаты — не попасть.</w:t>
      </w:r>
    </w:p>
    <w:p w:rsidR="00E975F0" w:rsidRDefault="007E32CC">
      <w:pPr>
        <w:keepNext/>
        <w:ind w:firstLine="0"/>
        <w:jc w:val="left"/>
      </w:pPr>
      <w:r>
        <w:t>Таблица 1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058"/>
        <w:gridCol w:w="1216"/>
        <w:gridCol w:w="1216"/>
        <w:gridCol w:w="1216"/>
        <w:gridCol w:w="1216"/>
        <w:gridCol w:w="1216"/>
        <w:gridCol w:w="1216"/>
      </w:tblGrid>
      <w:tr w:rsidR="00E975F0">
        <w:trPr>
          <w:cantSplit/>
          <w:tblHeader/>
        </w:trPr>
        <w:tc>
          <w:tcPr>
            <w:tcW w:w="2058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JSON первого ответа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Контракт с первого раза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Итоговый контракт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Повторы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F1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Строки вне текста, итог</w:t>
            </w:r>
          </w:p>
        </w:tc>
      </w:tr>
      <w:tr w:rsidR="00E975F0">
        <w:trPr>
          <w:cantSplit/>
        </w:trPr>
        <w:tc>
          <w:tcPr>
            <w:tcW w:w="2058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version_1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50/50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39/50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45/50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0.524</w:t>
            </w:r>
          </w:p>
        </w:tc>
        <w:tc>
          <w:tcPr>
            <w:tcW w:w="1216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60</w:t>
            </w:r>
          </w:p>
        </w:tc>
      </w:tr>
      <w:tr w:rsidR="00E975F0">
        <w:trPr>
          <w:cantSplit/>
        </w:trPr>
        <w:tc>
          <w:tcPr>
            <w:tcW w:w="2058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version_2</w:t>
            </w:r>
          </w:p>
        </w:tc>
        <w:tc>
          <w:tcPr>
            <w:tcW w:w="1216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50/50</w:t>
            </w:r>
          </w:p>
        </w:tc>
        <w:tc>
          <w:tcPr>
            <w:tcW w:w="1216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37/50</w:t>
            </w:r>
          </w:p>
        </w:tc>
        <w:tc>
          <w:tcPr>
            <w:tcW w:w="1216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42/50</w:t>
            </w:r>
          </w:p>
        </w:tc>
        <w:tc>
          <w:tcPr>
            <w:tcW w:w="1216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13</w:t>
            </w:r>
          </w:p>
        </w:tc>
        <w:tc>
          <w:tcPr>
            <w:tcW w:w="1216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0.575</w:t>
            </w:r>
          </w:p>
        </w:tc>
        <w:tc>
          <w:tcPr>
            <w:tcW w:w="1216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</w:t>
            </w:r>
          </w:p>
        </w:tc>
      </w:tr>
    </w:tbl>
    <w:p w:rsidR="00E975F0" w:rsidRDefault="00E975F0">
      <w:pPr>
        <w:spacing w:line="240" w:lineRule="auto"/>
        <w:ind w:firstLine="0"/>
      </w:pPr>
    </w:p>
    <w:p w:rsidR="00E975F0" w:rsidRDefault="007E32CC">
      <w:pPr>
        <w:keepNext/>
        <w:ind w:firstLine="0"/>
        <w:jc w:val="left"/>
      </w:pPr>
      <w:r>
        <w:t>Таблица 2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059"/>
        <w:gridCol w:w="1459"/>
        <w:gridCol w:w="1459"/>
        <w:gridCol w:w="1459"/>
        <w:gridCol w:w="1459"/>
        <w:gridCol w:w="1459"/>
      </w:tblGrid>
      <w:tr w:rsidR="00E975F0">
        <w:trPr>
          <w:cantSplit/>
          <w:tblHeader/>
        </w:trPr>
        <w:tc>
          <w:tcPr>
            <w:tcW w:w="2058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Среднее время с повторами, с/отзыв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Входные токены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Выходные токены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Recall</w:t>
            </w:r>
          </w:p>
        </w:tc>
      </w:tr>
      <w:tr w:rsidR="00E975F0">
        <w:trPr>
          <w:cantSplit/>
        </w:trPr>
        <w:tc>
          <w:tcPr>
            <w:tcW w:w="2058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version_1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6.62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12131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7385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0.496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0.555</w:t>
            </w:r>
          </w:p>
        </w:tc>
      </w:tr>
      <w:tr w:rsidR="00E975F0">
        <w:trPr>
          <w:cantSplit/>
        </w:trPr>
        <w:tc>
          <w:tcPr>
            <w:tcW w:w="2058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version_2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7.65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46717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8587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0.535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0.622</w:t>
            </w:r>
          </w:p>
        </w:tc>
      </w:tr>
    </w:tbl>
    <w:p w:rsidR="00E975F0" w:rsidRDefault="00E975F0">
      <w:pPr>
        <w:spacing w:line="240" w:lineRule="auto"/>
        <w:ind w:firstLine="0"/>
      </w:pPr>
    </w:p>
    <w:p w:rsidR="00E975F0" w:rsidRDefault="007E32CC">
      <w:r>
        <w:t xml:space="preserve">Время — наблюдаемая задержка HTTP, включая </w:t>
      </w:r>
      <w:r>
        <w:t>повторные ответы, деленная на 50. Токены получены из usage сервера, а не оценены по длине строк. Поскольку модель локальная, счета внешнего API нет; энергопотребление и амортизация видеокарты не измерялись.</w:t>
      </w:r>
    </w:p>
    <w:p w:rsidR="00E975F0" w:rsidRDefault="007E32CC">
      <w:pPr>
        <w:pStyle w:val="21"/>
        <w:keepNext/>
        <w:spacing w:before="240" w:after="240"/>
        <w:jc w:val="left"/>
      </w:pPr>
      <w:bookmarkStart w:id="9" w:name="_Toc240532672"/>
      <w:r>
        <w:t>2.6 Этап анализа пяти ошибок</w:t>
      </w:r>
      <w:bookmarkEnd w:id="9"/>
    </w:p>
    <w:p w:rsidR="00E975F0" w:rsidRDefault="007E32CC">
      <w:r>
        <w:t>1. 3004353.tsv, vers</w:t>
      </w:r>
      <w:r>
        <w:t xml:space="preserve">ion_1. Вместо названия средства извлечено «таблетки», хотя название отсутствует. В evidence есть настоящее предложение, но оно не подтверждает конкретное имя препарата. Это </w:t>
      </w:r>
      <w:r>
        <w:lastRenderedPageBreak/>
        <w:t>семантическая ошибка типизации, которую одной проверкой подстроки устранить нельзя.</w:t>
      </w:r>
      <w:r>
        <w:t xml:space="preserve"> Кроме того, модель заменила «мерзнуть пальцы» на «мерзнут пальцы»: смысл близок, но буквальная проверка фиксирует отсутствие такой строки.</w:t>
      </w:r>
    </w:p>
    <w:p w:rsidR="00E975F0" w:rsidRDefault="007E32CC">
      <w:r>
        <w:t>2. 207209.tsv, version_1. Ответ содержит drug=[«препарат»], adverse_reaction=[«рвота», «тошнота»] вместо исходного «</w:t>
      </w:r>
      <w:r>
        <w:t>воротило и рвало». Отрицание положительного результата обработано верно. Ошибка в общем названии и нормализации показывает, почему извлечение необходимо отличать от пересказа: JSON валиден, цитата подлинная, однако строки сущностей изменены. Расширенная ин</w:t>
      </w:r>
      <w:r>
        <w:t>струкция запрещает такие преобразования.</w:t>
      </w:r>
    </w:p>
    <w:p w:rsidR="00E975F0" w:rsidRDefault="007E32CC">
      <w:r>
        <w:t>3. 807762.tsv, version_1. Пропущена нежелательная реакция — повышение температуры у ребенка после приема неназванного средства. Модель сохранила только сравнение с инфлюцидом и его положительный эффект. Наличие одно</w:t>
      </w:r>
      <w:r>
        <w:t>го известного названия, вероятно, сузило извлечение до этого препарата; это интерпретация наблюдаемого ответа, а не установленная внутренняя причина. Правило должно разрешать фиксацию реакции и при неизвестном названии виновного средства.</w:t>
      </w:r>
    </w:p>
    <w:p w:rsidR="00E975F0" w:rsidRDefault="007E32CC">
      <w:r>
        <w:t>4. 2491980.tsv, v</w:t>
      </w:r>
      <w:r>
        <w:t>ersion_1. Ухудшение «стало только хуже» отнесено к adverse_reaction, хотя отзыв сообщает неэффективность лечения апатии и депрессии и не называет отдельную реакцию. Эталон оставляет это поле пустым. Кроме того, «апатии» и «депрессии» нормализованы в началь</w:t>
      </w:r>
      <w:r>
        <w:t>ную форму. Это одновременно пограничная семантическая классификация и ограничение выбранной поверхностной метрики: не все штрафные токены означают грубую потерю смысла.</w:t>
      </w:r>
    </w:p>
    <w:p w:rsidR="00E975F0" w:rsidRDefault="007E32CC">
      <w:r>
        <w:t>5. 2503806.tsv, version_2. «литическую смесь» модель включила в drug наряду с димедроло</w:t>
      </w:r>
      <w:r>
        <w:t xml:space="preserve">м; эталон содержит только размеченное конкретное название. Цитата существует и проверку проходит, но многокомпонентная смесь не совпадает с принятой в эталоне категорией именованных препаратов. Дополнительно более длинное извлечение «Хороший препарат </w:t>
      </w:r>
      <w:r>
        <w:lastRenderedPageBreak/>
        <w:t>быстр</w:t>
      </w:r>
      <w:r>
        <w:t>о сбивает температуру.» снижает precision относительно короткого gold. Пример показывает зависимость оценки от гранулярности эталона и необходимость уточнять категорию до эксперимента.</w:t>
      </w:r>
    </w:p>
    <w:p w:rsidR="00E975F0" w:rsidRDefault="007E32CC">
      <w:pPr>
        <w:pStyle w:val="21"/>
        <w:keepNext/>
        <w:spacing w:before="240" w:after="240"/>
        <w:jc w:val="left"/>
      </w:pPr>
      <w:bookmarkStart w:id="10" w:name="_Toc240532673"/>
      <w:r>
        <w:t>2.7 Дополнительная проверка эталона</w:t>
      </w:r>
      <w:bookmarkEnd w:id="10"/>
    </w:p>
    <w:p w:rsidR="00E975F0" w:rsidRDefault="007E32CC">
      <w:r>
        <w:t>После основного эксперимента при до</w:t>
      </w:r>
      <w:r>
        <w:t xml:space="preserve">полнительной проверке я обнаружил три ошибки переноса NER-разметки в новую схему. В 1037212.tsv «спокойной» является результатом, а не показанием; в 2500038.tsv заболевания описаны как последующий итог курса, а не исходная причина назначения; в 895731.tsv </w:t>
      </w:r>
      <w:r>
        <w:t>«фуфломицин» — оценочное обозначение, а не имя препарата. Эти значения удалены только в отдельном data/gold_reviewed.jsonl; остальные поля не дополнены новыми интерпретациями. Исходный замороженный эталон и основные метрики выше сохранены. Подробные тексто</w:t>
      </w:r>
      <w:r>
        <w:t>вые основания — data/gold_review_audit.md.</w:t>
      </w:r>
    </w:p>
    <w:p w:rsidR="00E975F0" w:rsidRDefault="007E32CC">
      <w:r>
        <w:t>Те же 100 сохранённых ответов повторно оценены без новых запросов LLM. Исправления сформулированы по текстам и инструкции; рост метрики не был критерием их выбора. Это post-hoc проверка чувствительности, а не неза</w:t>
      </w:r>
      <w:r>
        <w:t>висимый новый тест и не полная экспертная ревизия gold.</w:t>
      </w:r>
    </w:p>
    <w:p w:rsidR="00E975F0" w:rsidRDefault="007E32CC">
      <w:pPr>
        <w:keepNext/>
        <w:ind w:firstLine="0"/>
        <w:jc w:val="left"/>
      </w:pPr>
      <w:r>
        <w:t>Таблица 3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059"/>
        <w:gridCol w:w="1459"/>
        <w:gridCol w:w="1459"/>
        <w:gridCol w:w="1459"/>
        <w:gridCol w:w="1459"/>
        <w:gridCol w:w="1459"/>
      </w:tblGrid>
      <w:tr w:rsidR="00E975F0">
        <w:trPr>
          <w:cantSplit/>
          <w:tblHeader/>
        </w:trPr>
        <w:tc>
          <w:tcPr>
            <w:tcW w:w="2058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Исходный F1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F1 после трёх исправлений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Изменение F1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Precision нового gold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Recall нового gold</w:t>
            </w:r>
          </w:p>
        </w:tc>
      </w:tr>
      <w:tr w:rsidR="00E975F0">
        <w:trPr>
          <w:cantSplit/>
        </w:trPr>
        <w:tc>
          <w:tcPr>
            <w:tcW w:w="2058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version_1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0,523810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0,526035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+0,002225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0,493734</w:t>
            </w:r>
          </w:p>
        </w:tc>
        <w:tc>
          <w:tcPr>
            <w:tcW w:w="1459" w:type="dxa"/>
          </w:tcPr>
          <w:p w:rsidR="00E975F0" w:rsidRDefault="007E32CC">
            <w:pPr>
              <w:keepNext/>
              <w:spacing w:before="60" w:after="60" w:line="240" w:lineRule="auto"/>
              <w:ind w:firstLine="0"/>
            </w:pPr>
            <w:r>
              <w:rPr>
                <w:sz w:val="20"/>
              </w:rPr>
              <w:t>0,562857</w:t>
            </w:r>
          </w:p>
        </w:tc>
      </w:tr>
      <w:tr w:rsidR="00E975F0">
        <w:trPr>
          <w:cantSplit/>
        </w:trPr>
        <w:tc>
          <w:tcPr>
            <w:tcW w:w="2058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version_2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0,575130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0,572549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−0,002581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0,527711</w:t>
            </w:r>
          </w:p>
        </w:tc>
        <w:tc>
          <w:tcPr>
            <w:tcW w:w="1459" w:type="dxa"/>
          </w:tcPr>
          <w:p w:rsidR="00E975F0" w:rsidRDefault="007E32CC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0,625714</w:t>
            </w:r>
          </w:p>
        </w:tc>
      </w:tr>
    </w:tbl>
    <w:p w:rsidR="00E975F0" w:rsidRDefault="00E975F0">
      <w:pPr>
        <w:spacing w:line="240" w:lineRule="auto"/>
        <w:ind w:firstLine="0"/>
      </w:pPr>
    </w:p>
    <w:p w:rsidR="00E975F0" w:rsidRDefault="007E32CC">
      <w:r>
        <w:t>Изменения малы и разнонаправленны; вывод о более высоком F1 version_2 сохраняется. Однако аудит показывает, почему достоверность эталона нужно обсуждать отдельно от качества формального валидатора. Результаты</w:t>
      </w:r>
      <w:r>
        <w:t xml:space="preserve"> и хеши опубликованы в results/sensitivity.json и results/sensitivity.csv; исходные предсказания не изменялись.</w:t>
      </w:r>
    </w:p>
    <w:p w:rsidR="00E975F0" w:rsidRDefault="007E32CC">
      <w:pPr>
        <w:pStyle w:val="1"/>
        <w:keepNext/>
        <w:pageBreakBefore/>
        <w:spacing w:after="240"/>
        <w:ind w:firstLine="0"/>
        <w:jc w:val="center"/>
      </w:pPr>
      <w:bookmarkStart w:id="11" w:name="_Toc240532674"/>
      <w:r>
        <w:lastRenderedPageBreak/>
        <w:t>ЗАКЛЮЧЕНИЕ</w:t>
      </w:r>
      <w:bookmarkEnd w:id="11"/>
    </w:p>
    <w:p w:rsidR="00E975F0" w:rsidRDefault="007E32CC">
      <w:r>
        <w:t>В моём прогоне F1 вырос с 0,524 до 0,575, а число строк извлечений, отсутствующих в тексте, снизилось с 60 до 0. При этом итоговую ва</w:t>
      </w:r>
      <w:r>
        <w:t>лидацию прошли 45 из 50 ответов version_1 и 42 из 50 ответов version_2: более строгий контроль увеличил число отклонений. Среднее время выросло с 6,62 до 7,65 с на отзыв. Программная оболочка обеспечивает воспроизводимый формат, видимый механизм исправлени</w:t>
      </w:r>
      <w:r>
        <w:t>я и контроль дословности. Полная формальная валидность не гарантирует правильного распределения информации между полями. У version_2 доля строк вне исходного текста контролируется конструктивно, но проверка evidence не доказывает причинность и не исключает</w:t>
      </w:r>
      <w:r>
        <w:t xml:space="preserve"> неверной классификации настоящего фрагмента. Сравнивать версии следует одновременно по F1, повторам, времени и анализу примеров. Эффект инструкции в этом исследовании ограничен одной моделью, одним прогоном, смещенной выборкой коротких отзывов и адаптиров</w:t>
      </w:r>
      <w:r>
        <w:t>анным эталоном; независимая экспертная оценка остается необходимой для практического применения.</w:t>
      </w:r>
    </w:p>
    <w:p w:rsidR="00E975F0" w:rsidRDefault="007E32CC">
      <w:pPr>
        <w:pStyle w:val="1"/>
        <w:keepNext/>
        <w:pageBreakBefore/>
        <w:spacing w:after="240"/>
        <w:ind w:firstLine="0"/>
        <w:jc w:val="center"/>
      </w:pPr>
      <w:bookmarkStart w:id="12" w:name="_Toc240532675"/>
      <w:r>
        <w:lastRenderedPageBreak/>
        <w:t>СПИСОК ИСПОЛЬЗОВАННЫХ ИСТОЧНИКОВ</w:t>
      </w:r>
      <w:bookmarkEnd w:id="12"/>
    </w:p>
    <w:p w:rsidR="00E975F0" w:rsidRDefault="007E32CC">
      <w:r>
        <w:t>1. Tutubalina E. et al. The Russian Drug Reaction Corpus and Neural Models for Drug Reactions and Effectiveness Detection in U</w:t>
      </w:r>
      <w:r>
        <w:t>ser Reviews // Bioinformatics. 2020. DOI: 10.1093/bioinformatics/btaa675. URL: https://github.com/cimm-kzn/RuDReC (дата обращения: 08.09.2026).</w:t>
      </w:r>
    </w:p>
    <w:p w:rsidR="00E975F0" w:rsidRDefault="007E32CC">
      <w:r>
        <w:t>2. Pydantic: документация и установленная реализация Pydantic 2; pytest: автоматические тесты проекта. Версии за</w:t>
      </w:r>
      <w:r>
        <w:t>висимостей фиксируются общим файлом окружения репозитория.</w:t>
      </w:r>
    </w:p>
    <w:p w:rsidR="00E975F0" w:rsidRDefault="007E32CC">
      <w:r>
        <w:t>README RuDReC называет корпус freely available; отдельная стандартная лицензия в корне источника не обнаружена. Данные не объявляются имеющими лицензию MIT или CC без подтверждения.</w:t>
      </w:r>
    </w:p>
    <w:sectPr w:rsidR="00E975F0" w:rsidSect="00602E87">
      <w:footerReference w:type="default" r:id="rId8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602E87"/>
    <w:rsid w:val="006B5379"/>
    <w:rsid w:val="006E27D6"/>
    <w:rsid w:val="007010B0"/>
    <w:rsid w:val="007E32CC"/>
    <w:rsid w:val="00A3573F"/>
    <w:rsid w:val="00A77784"/>
    <w:rsid w:val="00A97DDC"/>
    <w:rsid w:val="00AA1D8D"/>
    <w:rsid w:val="00B47730"/>
    <w:rsid w:val="00CB0664"/>
    <w:rsid w:val="00E81FE2"/>
    <w:rsid w:val="00E97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7265597-25C0-441B-82A1-6D014488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677C3-666D-4801-B28C-9AA6ADBC3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1877</Words>
  <Characters>10700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Промпт как программа</dc:title>
  <dc:subject>Автоматическая обработка текста</dc:subject>
  <dc:creator>Дущенко Даниил Александрович</dc:creator>
  <dc:description>Группа К3341. Методика и результаты экспериментов описаны в отчете.</dc:description>
  <cp:lastModifiedBy>Администратор</cp:lastModifiedBy>
  <cp:revision>3</cp:revision>
  <dcterms:created xsi:type="dcterms:W3CDTF">2026-06-06T21:53:00Z</dcterms:created>
  <dcterms:modified xsi:type="dcterms:W3CDTF">2026-09-17T07:17:00Z</dcterms:modified>
</cp:coreProperties>
</file>